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1CA5B" w14:textId="19924F92" w:rsidR="00C74E17" w:rsidRPr="001869B5" w:rsidRDefault="00C74E17" w:rsidP="00606267">
      <w:pPr>
        <w:jc w:val="center"/>
        <w:outlineLvl w:val="0"/>
        <w:rPr>
          <w:rFonts w:ascii="Garamond" w:hAnsi="Garamond"/>
          <w:b/>
          <w:sz w:val="28"/>
          <w:szCs w:val="28"/>
        </w:rPr>
      </w:pPr>
      <w:r w:rsidRPr="001869B5">
        <w:rPr>
          <w:rFonts w:ascii="Garamond" w:hAnsi="Garamond"/>
          <w:b/>
          <w:sz w:val="28"/>
          <w:szCs w:val="28"/>
        </w:rPr>
        <w:t xml:space="preserve">Philosophy and Liturgy </w:t>
      </w:r>
      <w:r w:rsidR="00E14079">
        <w:rPr>
          <w:rFonts w:ascii="Garamond" w:hAnsi="Garamond"/>
          <w:b/>
          <w:sz w:val="28"/>
          <w:szCs w:val="28"/>
        </w:rPr>
        <w:t>Part 2</w:t>
      </w:r>
    </w:p>
    <w:p w14:paraId="5BACE4AA" w14:textId="2AF872FD" w:rsidR="00C74E17" w:rsidRPr="001869B5" w:rsidRDefault="009D272B" w:rsidP="00606267">
      <w:pPr>
        <w:jc w:val="center"/>
        <w:outlineLvl w:val="0"/>
        <w:rPr>
          <w:rFonts w:ascii="Garamond" w:hAnsi="Garamond"/>
          <w:b/>
          <w:sz w:val="28"/>
          <w:szCs w:val="28"/>
        </w:rPr>
      </w:pPr>
      <w:r w:rsidRPr="001869B5">
        <w:rPr>
          <w:rFonts w:ascii="Garamond" w:hAnsi="Garamond"/>
          <w:b/>
          <w:sz w:val="28"/>
          <w:szCs w:val="28"/>
        </w:rPr>
        <w:t>Liturgy and Epistemology</w:t>
      </w:r>
    </w:p>
    <w:p w14:paraId="30BB79A6" w14:textId="5EBA92F0" w:rsidR="009D272B" w:rsidRDefault="009D272B" w:rsidP="00C74E17">
      <w:pPr>
        <w:rPr>
          <w:rFonts w:ascii="Garamond" w:hAnsi="Garamond"/>
        </w:rPr>
      </w:pPr>
    </w:p>
    <w:p w14:paraId="36A3EC09" w14:textId="44578E3A" w:rsidR="002C1856" w:rsidRPr="002C1856" w:rsidRDefault="002C1856" w:rsidP="00C74E17">
      <w:pPr>
        <w:rPr>
          <w:rFonts w:ascii="Garamond" w:hAnsi="Garamond"/>
        </w:rPr>
      </w:pPr>
      <w:r>
        <w:rPr>
          <w:rFonts w:ascii="Garamond" w:hAnsi="Garamond"/>
          <w:b/>
        </w:rPr>
        <w:t xml:space="preserve">Abstract: </w:t>
      </w:r>
      <w:r>
        <w:rPr>
          <w:rFonts w:ascii="Garamond" w:hAnsi="Garamond"/>
        </w:rPr>
        <w:t xml:space="preserve">In this article, I summarise recent philosophical work on the philosophy of liturgy. In part 2 of this article, I consider how liturgy can provide a way of knowing God personally. I outline accounts of acquiring phenomenal-knowledge, practical-knowledge and propositional-knowledge by participating in liturgy. </w:t>
      </w:r>
    </w:p>
    <w:p w14:paraId="0AD8958E" w14:textId="77777777" w:rsidR="002C1856" w:rsidRPr="001869B5" w:rsidRDefault="002C1856" w:rsidP="00C74E17">
      <w:pPr>
        <w:rPr>
          <w:rFonts w:ascii="Garamond" w:hAnsi="Garamond"/>
        </w:rPr>
      </w:pPr>
    </w:p>
    <w:p w14:paraId="13901D8A" w14:textId="2F11F396" w:rsidR="002C1856" w:rsidRPr="002C1856" w:rsidRDefault="002C1856" w:rsidP="00606267">
      <w:pPr>
        <w:outlineLvl w:val="0"/>
        <w:rPr>
          <w:rFonts w:ascii="Garamond" w:hAnsi="Garamond"/>
        </w:rPr>
      </w:pPr>
      <w:r>
        <w:rPr>
          <w:rFonts w:ascii="Garamond" w:hAnsi="Garamond"/>
          <w:b/>
        </w:rPr>
        <w:t xml:space="preserve">Keywords: </w:t>
      </w:r>
      <w:r>
        <w:rPr>
          <w:rFonts w:ascii="Garamond" w:hAnsi="Garamond"/>
        </w:rPr>
        <w:t>Liturgy, epistemology, personal-knowledge, phenomenal-knowledge, practical-knowledge, propositional-knowledge</w:t>
      </w:r>
    </w:p>
    <w:p w14:paraId="525F1022" w14:textId="77777777" w:rsidR="002C1856" w:rsidRDefault="002C1856" w:rsidP="00606267">
      <w:pPr>
        <w:outlineLvl w:val="0"/>
        <w:rPr>
          <w:rFonts w:ascii="Garamond" w:hAnsi="Garamond"/>
          <w:b/>
        </w:rPr>
      </w:pPr>
    </w:p>
    <w:p w14:paraId="0074D5B0" w14:textId="1AC9FF97" w:rsidR="003E22A4" w:rsidRPr="003E22A4" w:rsidRDefault="009D272B" w:rsidP="00606267">
      <w:pPr>
        <w:outlineLvl w:val="0"/>
        <w:rPr>
          <w:rFonts w:ascii="Garamond" w:hAnsi="Garamond"/>
          <w:b/>
        </w:rPr>
      </w:pPr>
      <w:r w:rsidRPr="001869B5">
        <w:rPr>
          <w:rFonts w:ascii="Garamond" w:hAnsi="Garamond"/>
          <w:b/>
        </w:rPr>
        <w:t>Introduction</w:t>
      </w:r>
    </w:p>
    <w:p w14:paraId="28F5DD09" w14:textId="77777777" w:rsidR="00230A54" w:rsidRDefault="00D835D0" w:rsidP="00C74E17">
      <w:pPr>
        <w:rPr>
          <w:rFonts w:ascii="Garamond" w:hAnsi="Garamond"/>
        </w:rPr>
      </w:pPr>
      <w:r w:rsidRPr="001869B5">
        <w:rPr>
          <w:rFonts w:ascii="Garamond" w:hAnsi="Garamond"/>
        </w:rPr>
        <w:t xml:space="preserve">One of the recurring themes of the recent emerging philosophical work on liturgy is the discussion of how </w:t>
      </w:r>
      <w:r w:rsidR="00A5422E">
        <w:rPr>
          <w:rFonts w:ascii="Garamond" w:hAnsi="Garamond"/>
        </w:rPr>
        <w:t xml:space="preserve">participating in </w:t>
      </w:r>
      <w:r w:rsidRPr="001869B5">
        <w:rPr>
          <w:rFonts w:ascii="Garamond" w:hAnsi="Garamond"/>
        </w:rPr>
        <w:t xml:space="preserve">liturgy can be a way of knowing. In </w:t>
      </w:r>
      <w:r w:rsidR="00A5422E">
        <w:rPr>
          <w:rFonts w:ascii="Garamond" w:hAnsi="Garamond"/>
        </w:rPr>
        <w:t>the</w:t>
      </w:r>
      <w:r w:rsidR="00A5422E" w:rsidRPr="001869B5">
        <w:rPr>
          <w:rFonts w:ascii="Garamond" w:hAnsi="Garamond"/>
        </w:rPr>
        <w:t xml:space="preserve"> </w:t>
      </w:r>
      <w:r w:rsidRPr="001869B5">
        <w:rPr>
          <w:rFonts w:ascii="Garamond" w:hAnsi="Garamond"/>
        </w:rPr>
        <w:t xml:space="preserve">first </w:t>
      </w:r>
      <w:r w:rsidR="00D9406D" w:rsidRPr="001869B5">
        <w:rPr>
          <w:rFonts w:ascii="Garamond" w:hAnsi="Garamond"/>
        </w:rPr>
        <w:t>part of this article</w:t>
      </w:r>
      <w:r w:rsidRPr="001869B5">
        <w:rPr>
          <w:rFonts w:ascii="Garamond" w:hAnsi="Garamond"/>
        </w:rPr>
        <w:t xml:space="preserve"> on liturgy and philosophy, I discussed the nature of actions which are performed in the context of liturgical worship. Drawing together insights from the recent literature, I suggested that liturgy provides a means of acting, and more specifically, a means of engaging God. A natural question which follows, is how engaging God in this way can help us to know God. In this second article, I consider the question of how liturgy can provide a way of knowing. </w:t>
      </w:r>
    </w:p>
    <w:p w14:paraId="3FE72EE6" w14:textId="0908845E" w:rsidR="006F7267" w:rsidRDefault="00230A54" w:rsidP="00230A54">
      <w:pPr>
        <w:ind w:firstLine="720"/>
        <w:rPr>
          <w:rFonts w:ascii="Garamond" w:hAnsi="Garamond"/>
        </w:rPr>
      </w:pPr>
      <w:r>
        <w:rPr>
          <w:rFonts w:ascii="Garamond" w:hAnsi="Garamond"/>
        </w:rPr>
        <w:t xml:space="preserve">Whilst liturgy and epistemology might appear not to be natural conversation partners, as much of the recent work on the philosophy of liturgy has shown, participation in the liturgy of the Church is one of the primary ways that religious believers come to engage God and to know God. </w:t>
      </w:r>
      <w:r w:rsidR="006F7267">
        <w:rPr>
          <w:rFonts w:ascii="Garamond" w:hAnsi="Garamond"/>
        </w:rPr>
        <w:t xml:space="preserve">In the first part of </w:t>
      </w:r>
      <w:r w:rsidR="00903846">
        <w:rPr>
          <w:rFonts w:ascii="Garamond" w:hAnsi="Garamond"/>
        </w:rPr>
        <w:t>the</w:t>
      </w:r>
      <w:r w:rsidR="006F7267">
        <w:rPr>
          <w:rFonts w:ascii="Garamond" w:hAnsi="Garamond"/>
        </w:rPr>
        <w:t xml:space="preserve"> article, I </w:t>
      </w:r>
      <w:r w:rsidR="00903846">
        <w:rPr>
          <w:rFonts w:ascii="Garamond" w:hAnsi="Garamond"/>
        </w:rPr>
        <w:t>gave</w:t>
      </w:r>
      <w:r w:rsidR="006F7267">
        <w:rPr>
          <w:rFonts w:ascii="Garamond" w:hAnsi="Garamond"/>
        </w:rPr>
        <w:t xml:space="preserve"> a detailed overview of what liturgy is and how the term is used in the literature. </w:t>
      </w:r>
      <w:r>
        <w:rPr>
          <w:rFonts w:ascii="Garamond" w:hAnsi="Garamond"/>
        </w:rPr>
        <w:t xml:space="preserve">I suggested that liturgy performed in a religious community consists of some set of partially scripted, partially improvised, bodily, communal actions, which </w:t>
      </w:r>
      <w:r w:rsidR="00903846">
        <w:rPr>
          <w:rFonts w:ascii="Garamond" w:hAnsi="Garamond"/>
        </w:rPr>
        <w:t>count</w:t>
      </w:r>
      <w:r>
        <w:rPr>
          <w:rFonts w:ascii="Garamond" w:hAnsi="Garamond"/>
        </w:rPr>
        <w:t xml:space="preserve"> </w:t>
      </w:r>
      <w:r w:rsidR="00903846">
        <w:rPr>
          <w:rFonts w:ascii="Garamond" w:hAnsi="Garamond"/>
        </w:rPr>
        <w:t xml:space="preserve">as </w:t>
      </w:r>
      <w:r>
        <w:rPr>
          <w:rFonts w:ascii="Garamond" w:hAnsi="Garamond"/>
        </w:rPr>
        <w:t xml:space="preserve">instances of engaging God. </w:t>
      </w:r>
      <w:r w:rsidR="006F7267">
        <w:rPr>
          <w:rFonts w:ascii="Garamond" w:hAnsi="Garamond"/>
        </w:rPr>
        <w:t xml:space="preserve">It’s worth reiterating one point for the purposes of the present discussion— liturgy is not something practiced only in formal or traditional Churches. Many of the examples used in the literature are from more formal traditions, however, the insights made are applicable to most instances of liturgy, however formal or informal it </w:t>
      </w:r>
      <w:r w:rsidR="00903846">
        <w:rPr>
          <w:rFonts w:ascii="Garamond" w:hAnsi="Garamond"/>
        </w:rPr>
        <w:t>may be</w:t>
      </w:r>
      <w:r w:rsidR="006F7267">
        <w:rPr>
          <w:rFonts w:ascii="Garamond" w:hAnsi="Garamond"/>
        </w:rPr>
        <w:t>. Since this article seeks to give an overview of this literature, I will try to be as tradition-neu</w:t>
      </w:r>
      <w:r>
        <w:rPr>
          <w:rFonts w:ascii="Garamond" w:hAnsi="Garamond"/>
        </w:rPr>
        <w:t>tral as possible, whilst remaining faithful to the original contexts and examples used by those writing on the topic.</w:t>
      </w:r>
      <w:r>
        <w:rPr>
          <w:rStyle w:val="FootnoteReference"/>
          <w:rFonts w:ascii="Garamond" w:hAnsi="Garamond"/>
        </w:rPr>
        <w:footnoteReference w:id="1"/>
      </w:r>
      <w:r>
        <w:rPr>
          <w:rFonts w:ascii="Garamond" w:hAnsi="Garamond"/>
        </w:rPr>
        <w:t xml:space="preserve"> </w:t>
      </w:r>
    </w:p>
    <w:p w14:paraId="3D8EAC3A" w14:textId="3CE3CF1D" w:rsidR="009D272B" w:rsidRPr="001869B5" w:rsidRDefault="009D272B" w:rsidP="00C74E17">
      <w:pPr>
        <w:rPr>
          <w:rFonts w:ascii="Garamond" w:hAnsi="Garamond"/>
        </w:rPr>
      </w:pPr>
    </w:p>
    <w:p w14:paraId="5D5A13F7" w14:textId="454A7CC6" w:rsidR="009D272B" w:rsidRPr="001869B5" w:rsidRDefault="00C74E17" w:rsidP="00606267">
      <w:pPr>
        <w:outlineLvl w:val="0"/>
        <w:rPr>
          <w:rFonts w:ascii="Garamond" w:hAnsi="Garamond"/>
          <w:b/>
        </w:rPr>
      </w:pPr>
      <w:r w:rsidRPr="001869B5">
        <w:rPr>
          <w:rFonts w:ascii="Garamond" w:hAnsi="Garamond"/>
          <w:b/>
        </w:rPr>
        <w:t xml:space="preserve">Knowing God </w:t>
      </w:r>
      <w:r w:rsidR="00A5422E">
        <w:rPr>
          <w:rFonts w:ascii="Garamond" w:hAnsi="Garamond"/>
          <w:b/>
        </w:rPr>
        <w:t>l</w:t>
      </w:r>
      <w:r w:rsidRPr="001869B5">
        <w:rPr>
          <w:rFonts w:ascii="Garamond" w:hAnsi="Garamond"/>
          <w:b/>
        </w:rPr>
        <w:t>iturgically</w:t>
      </w:r>
    </w:p>
    <w:p w14:paraId="577E5685" w14:textId="22D3A2C4" w:rsidR="000874FA" w:rsidRDefault="00C74E17" w:rsidP="00D835D0">
      <w:pPr>
        <w:rPr>
          <w:rFonts w:ascii="Garamond" w:hAnsi="Garamond"/>
        </w:rPr>
      </w:pPr>
      <w:r w:rsidRPr="001869B5">
        <w:rPr>
          <w:rFonts w:ascii="Garamond" w:hAnsi="Garamond"/>
        </w:rPr>
        <w:t xml:space="preserve">Much of the epistemology of liturgy has been shaped by a central shared belief that, as Cuneo puts it, ‘the central aim of the Christian life is not to theorize about God but to know God’ (2016, 148). </w:t>
      </w:r>
      <w:r w:rsidR="005D01E3">
        <w:rPr>
          <w:rFonts w:ascii="Garamond" w:hAnsi="Garamond"/>
        </w:rPr>
        <w:t xml:space="preserve">Here, I summarise recent work on the epistemology of liturgy by </w:t>
      </w:r>
      <w:r w:rsidR="001F0B30">
        <w:rPr>
          <w:rFonts w:ascii="Garamond" w:hAnsi="Garamond"/>
        </w:rPr>
        <w:t xml:space="preserve">drawing </w:t>
      </w:r>
      <w:r w:rsidR="00964406">
        <w:rPr>
          <w:rFonts w:ascii="Garamond" w:hAnsi="Garamond"/>
        </w:rPr>
        <w:t xml:space="preserve">from </w:t>
      </w:r>
      <w:r w:rsidR="001F0B30">
        <w:rPr>
          <w:rFonts w:ascii="Garamond" w:hAnsi="Garamond"/>
        </w:rPr>
        <w:t xml:space="preserve">recent </w:t>
      </w:r>
      <w:r w:rsidR="00964406">
        <w:rPr>
          <w:rFonts w:ascii="Garamond" w:hAnsi="Garamond"/>
        </w:rPr>
        <w:t xml:space="preserve">work on </w:t>
      </w:r>
      <w:r w:rsidR="001F0B30">
        <w:rPr>
          <w:rFonts w:ascii="Garamond" w:hAnsi="Garamond"/>
        </w:rPr>
        <w:t>what it is to know so</w:t>
      </w:r>
      <w:r w:rsidR="00964406">
        <w:rPr>
          <w:rFonts w:ascii="Garamond" w:hAnsi="Garamond"/>
        </w:rPr>
        <w:t>meone personally.</w:t>
      </w:r>
      <w:r w:rsidR="006E7C7F" w:rsidRPr="001869B5">
        <w:rPr>
          <w:rStyle w:val="FootnoteReference"/>
          <w:rFonts w:ascii="Garamond" w:hAnsi="Garamond"/>
        </w:rPr>
        <w:footnoteReference w:id="2"/>
      </w:r>
      <w:r w:rsidR="00964406">
        <w:rPr>
          <w:rFonts w:ascii="Garamond" w:hAnsi="Garamond"/>
        </w:rPr>
        <w:t xml:space="preserve"> Thus, I suggest, participating in liturgy provides a means of, and an occasion for, knowing God personally. </w:t>
      </w:r>
      <w:r w:rsidR="005D01E3">
        <w:rPr>
          <w:rFonts w:ascii="Garamond" w:hAnsi="Garamond"/>
        </w:rPr>
        <w:t xml:space="preserve">First, following </w:t>
      </w:r>
      <w:r w:rsidR="00EF49DA">
        <w:rPr>
          <w:rFonts w:ascii="Garamond" w:hAnsi="Garamond"/>
        </w:rPr>
        <w:t>Eleonore</w:t>
      </w:r>
      <w:r w:rsidR="005D01E3">
        <w:rPr>
          <w:rFonts w:ascii="Garamond" w:hAnsi="Garamond"/>
        </w:rPr>
        <w:t xml:space="preserve"> Stump (2010), I suggest that a necessary condition for knowing someone personally is having a second-personal experience of that person, which allows us to acquire a kind of non-propositional phenomenal </w:t>
      </w:r>
      <w:r w:rsidR="006E7C7F">
        <w:rPr>
          <w:rFonts w:ascii="Garamond" w:hAnsi="Garamond"/>
        </w:rPr>
        <w:t xml:space="preserve">knowledge of them. </w:t>
      </w:r>
      <w:r w:rsidR="00964406">
        <w:rPr>
          <w:rFonts w:ascii="Garamond" w:hAnsi="Garamond"/>
        </w:rPr>
        <w:t xml:space="preserve">I then show how </w:t>
      </w:r>
      <w:r w:rsidR="006E7C7F">
        <w:rPr>
          <w:rFonts w:ascii="Garamond" w:hAnsi="Garamond"/>
        </w:rPr>
        <w:t>liturgy can help to meet this necessary condit</w:t>
      </w:r>
      <w:r w:rsidR="00964406">
        <w:rPr>
          <w:rFonts w:ascii="Garamond" w:hAnsi="Garamond"/>
        </w:rPr>
        <w:t xml:space="preserve">ion for knowing God personally, by outlining recent accounts of experiencing God by participating in liturgy. Secondly, as recent work by Bonnie M. Talbert (2015) has shown, knowing someone </w:t>
      </w:r>
      <w:r w:rsidR="00964406" w:rsidRPr="00EF49DA">
        <w:rPr>
          <w:rFonts w:ascii="Garamond" w:hAnsi="Garamond"/>
          <w:i/>
        </w:rPr>
        <w:t>well</w:t>
      </w:r>
      <w:r w:rsidR="00964406">
        <w:rPr>
          <w:rFonts w:ascii="Garamond" w:hAnsi="Garamond"/>
        </w:rPr>
        <w:t xml:space="preserve"> requires more than experiencing them second-personally. </w:t>
      </w:r>
      <w:r w:rsidR="00A557DD">
        <w:rPr>
          <w:rFonts w:ascii="Garamond" w:hAnsi="Garamond"/>
        </w:rPr>
        <w:t>I</w:t>
      </w:r>
      <w:r w:rsidR="00964406">
        <w:rPr>
          <w:rFonts w:ascii="Garamond" w:hAnsi="Garamond"/>
        </w:rPr>
        <w:t xml:space="preserve">f we </w:t>
      </w:r>
      <w:r w:rsidR="00964406">
        <w:rPr>
          <w:rFonts w:ascii="Garamond" w:hAnsi="Garamond"/>
        </w:rPr>
        <w:lastRenderedPageBreak/>
        <w:t>want to see how liturgy can allow us to know God well and not just be acquainte</w:t>
      </w:r>
      <w:r w:rsidR="00A557DD">
        <w:rPr>
          <w:rFonts w:ascii="Garamond" w:hAnsi="Garamond"/>
        </w:rPr>
        <w:t xml:space="preserve">d with God, we should consider how liturgy can provide the means for knowing God well. </w:t>
      </w:r>
      <w:r w:rsidR="00964406">
        <w:rPr>
          <w:rFonts w:ascii="Garamond" w:hAnsi="Garamond"/>
        </w:rPr>
        <w:t xml:space="preserve">Talbert suggests that </w:t>
      </w:r>
      <w:r w:rsidR="006E7C7F">
        <w:rPr>
          <w:rFonts w:ascii="Garamond" w:hAnsi="Garamond"/>
        </w:rPr>
        <w:t xml:space="preserve">knowing another person well requires </w:t>
      </w:r>
      <w:r w:rsidR="00EF49DA">
        <w:rPr>
          <w:rFonts w:ascii="Garamond" w:hAnsi="Garamond"/>
        </w:rPr>
        <w:t xml:space="preserve">sharing a number of worlds with them </w:t>
      </w:r>
      <w:r w:rsidR="00EF49DA" w:rsidRPr="001869B5">
        <w:rPr>
          <w:rFonts w:ascii="Garamond" w:hAnsi="Garamond"/>
        </w:rPr>
        <w:t>(</w:t>
      </w:r>
      <w:r w:rsidR="00EF49DA">
        <w:rPr>
          <w:rFonts w:ascii="Garamond" w:hAnsi="Garamond"/>
        </w:rPr>
        <w:t>2015</w:t>
      </w:r>
      <w:r w:rsidR="00EF49DA" w:rsidRPr="001869B5">
        <w:rPr>
          <w:rFonts w:ascii="Garamond" w:hAnsi="Garamond"/>
        </w:rPr>
        <w:t>, 198-202)</w:t>
      </w:r>
      <w:r w:rsidR="00EF49DA">
        <w:rPr>
          <w:rFonts w:ascii="Garamond" w:hAnsi="Garamond"/>
        </w:rPr>
        <w:t xml:space="preserve">, knowing-how to engage them </w:t>
      </w:r>
      <w:r w:rsidR="006E7C7F" w:rsidRPr="001869B5">
        <w:rPr>
          <w:rFonts w:ascii="Garamond" w:hAnsi="Garamond"/>
        </w:rPr>
        <w:t>(</w:t>
      </w:r>
      <w:r w:rsidR="006E7C7F">
        <w:rPr>
          <w:rFonts w:ascii="Garamond" w:hAnsi="Garamond"/>
        </w:rPr>
        <w:t>2015</w:t>
      </w:r>
      <w:r w:rsidR="006E7C7F" w:rsidRPr="001869B5">
        <w:rPr>
          <w:rFonts w:ascii="Garamond" w:hAnsi="Garamond"/>
        </w:rPr>
        <w:t>, 196-97),</w:t>
      </w:r>
      <w:r w:rsidR="006E7C7F">
        <w:rPr>
          <w:rFonts w:ascii="Garamond" w:hAnsi="Garamond"/>
        </w:rPr>
        <w:t xml:space="preserve"> </w:t>
      </w:r>
      <w:r w:rsidR="00EF49DA">
        <w:rPr>
          <w:rFonts w:ascii="Garamond" w:hAnsi="Garamond"/>
        </w:rPr>
        <w:t xml:space="preserve">and </w:t>
      </w:r>
      <w:r w:rsidR="006E7C7F">
        <w:rPr>
          <w:rFonts w:ascii="Garamond" w:hAnsi="Garamond"/>
        </w:rPr>
        <w:t xml:space="preserve">knowing about </w:t>
      </w:r>
      <w:r w:rsidR="00EF49DA">
        <w:rPr>
          <w:rFonts w:ascii="Garamond" w:hAnsi="Garamond"/>
        </w:rPr>
        <w:t>them</w:t>
      </w:r>
      <w:r w:rsidR="006E7C7F">
        <w:rPr>
          <w:rFonts w:ascii="Garamond" w:hAnsi="Garamond"/>
        </w:rPr>
        <w:t xml:space="preserve"> (2015</w:t>
      </w:r>
      <w:r w:rsidR="006E7C7F" w:rsidRPr="001869B5">
        <w:rPr>
          <w:rFonts w:ascii="Garamond" w:hAnsi="Garamond"/>
        </w:rPr>
        <w:t>, 197-198)</w:t>
      </w:r>
      <w:r w:rsidR="006E7C7F">
        <w:rPr>
          <w:rFonts w:ascii="Garamond" w:hAnsi="Garamond"/>
        </w:rPr>
        <w:t xml:space="preserve">. </w:t>
      </w:r>
      <w:r w:rsidR="00964406">
        <w:rPr>
          <w:rFonts w:ascii="Garamond" w:hAnsi="Garamond"/>
        </w:rPr>
        <w:t xml:space="preserve">I show how participating in liturgy can help to fulfil these conditions by allowing us to not only know God, but also to know him well. </w:t>
      </w:r>
    </w:p>
    <w:p w14:paraId="1AEB2B48" w14:textId="28626937" w:rsidR="000874FA" w:rsidRDefault="000874FA" w:rsidP="00C74E17">
      <w:pPr>
        <w:tabs>
          <w:tab w:val="left" w:pos="6103"/>
        </w:tabs>
        <w:rPr>
          <w:rFonts w:ascii="Garamond" w:hAnsi="Garamond"/>
        </w:rPr>
      </w:pPr>
    </w:p>
    <w:p w14:paraId="4979382A" w14:textId="22793407" w:rsidR="000874FA" w:rsidRPr="000874FA" w:rsidRDefault="005D01E3" w:rsidP="00C74E17">
      <w:pPr>
        <w:tabs>
          <w:tab w:val="left" w:pos="6103"/>
        </w:tabs>
        <w:rPr>
          <w:rFonts w:ascii="Garamond" w:hAnsi="Garamond"/>
          <w:b/>
        </w:rPr>
      </w:pPr>
      <w:r>
        <w:rPr>
          <w:rFonts w:ascii="Garamond" w:hAnsi="Garamond"/>
          <w:b/>
        </w:rPr>
        <w:t xml:space="preserve">Experiencing God and knowing what God is like </w:t>
      </w:r>
    </w:p>
    <w:p w14:paraId="7B516D78" w14:textId="77777777" w:rsidR="00EF49DA" w:rsidRDefault="00A557DD" w:rsidP="00EF49DA">
      <w:pPr>
        <w:rPr>
          <w:rFonts w:ascii="Garamond" w:hAnsi="Garamond"/>
        </w:rPr>
      </w:pPr>
      <w:r>
        <w:rPr>
          <w:rFonts w:ascii="Garamond" w:hAnsi="Garamond"/>
        </w:rPr>
        <w:t>Whilst analytic epistemology has</w:t>
      </w:r>
      <w:r w:rsidRPr="00A557DD">
        <w:rPr>
          <w:rFonts w:ascii="Garamond" w:hAnsi="Garamond"/>
        </w:rPr>
        <w:t xml:space="preserve"> </w:t>
      </w:r>
      <w:r>
        <w:rPr>
          <w:rFonts w:ascii="Garamond" w:hAnsi="Garamond"/>
        </w:rPr>
        <w:t xml:space="preserve">primarily been concerned with analysing what it is to know some fact (for instance, I know that Paris is in France), some philosophers have argued that not all kinds of knowledge can be </w:t>
      </w:r>
      <w:r w:rsidR="00B307E8">
        <w:rPr>
          <w:rFonts w:ascii="Garamond" w:hAnsi="Garamond"/>
        </w:rPr>
        <w:t>reduced to</w:t>
      </w:r>
      <w:r>
        <w:rPr>
          <w:rFonts w:ascii="Garamond" w:hAnsi="Garamond"/>
        </w:rPr>
        <w:t xml:space="preserve"> propositional knowledge. </w:t>
      </w:r>
      <w:r w:rsidR="00B307E8">
        <w:rPr>
          <w:rFonts w:ascii="Garamond" w:hAnsi="Garamond"/>
        </w:rPr>
        <w:t xml:space="preserve">For instance, it has been argued, knowing what seeing red is like, or knowing what it is like to be in love, cannot be reduced to propositions. </w:t>
      </w:r>
      <w:r w:rsidR="000874FA" w:rsidRPr="001869B5">
        <w:rPr>
          <w:rFonts w:ascii="Garamond" w:hAnsi="Garamond"/>
        </w:rPr>
        <w:t>Such knowledge is often called ‘phenomenal knowledge’ or ‘object knowledge’</w:t>
      </w:r>
      <w:r w:rsidR="000874FA">
        <w:rPr>
          <w:rFonts w:ascii="Garamond" w:hAnsi="Garamond"/>
        </w:rPr>
        <w:t xml:space="preserve">. </w:t>
      </w:r>
      <w:r w:rsidR="00EF49DA">
        <w:rPr>
          <w:rFonts w:ascii="Garamond" w:hAnsi="Garamond"/>
        </w:rPr>
        <w:t xml:space="preserve">Stump suggests that in Frank Jackson’s (1982) thought </w:t>
      </w:r>
      <w:r w:rsidR="00EF49DA" w:rsidRPr="001869B5">
        <w:rPr>
          <w:rFonts w:ascii="Garamond" w:hAnsi="Garamond"/>
        </w:rPr>
        <w:t xml:space="preserve">experiment </w:t>
      </w:r>
      <w:r w:rsidR="00EF49DA">
        <w:rPr>
          <w:rFonts w:ascii="Garamond" w:hAnsi="Garamond"/>
        </w:rPr>
        <w:t>about</w:t>
      </w:r>
      <w:r w:rsidR="00EF49DA" w:rsidRPr="001869B5">
        <w:rPr>
          <w:rFonts w:ascii="Garamond" w:hAnsi="Garamond"/>
        </w:rPr>
        <w:t xml:space="preserve"> Mary, the super</w:t>
      </w:r>
      <w:r w:rsidR="00EF49DA">
        <w:rPr>
          <w:rFonts w:ascii="Garamond" w:hAnsi="Garamond"/>
        </w:rPr>
        <w:t xml:space="preserve"> smart</w:t>
      </w:r>
      <w:r w:rsidR="00EF49DA" w:rsidRPr="001869B5">
        <w:rPr>
          <w:rFonts w:ascii="Garamond" w:hAnsi="Garamond"/>
        </w:rPr>
        <w:t xml:space="preserve"> scientist confined to a black and white room with all of the information about colour</w:t>
      </w:r>
      <w:r w:rsidR="00EF49DA">
        <w:rPr>
          <w:rFonts w:ascii="Garamond" w:hAnsi="Garamond"/>
        </w:rPr>
        <w:t xml:space="preserve">, </w:t>
      </w:r>
      <w:r w:rsidR="000874FA" w:rsidRPr="001869B5">
        <w:rPr>
          <w:rFonts w:ascii="Garamond" w:hAnsi="Garamond"/>
        </w:rPr>
        <w:t xml:space="preserve">what Mary learns in seeing a red tomato for the first time, is something about redness—there is something that it is like to see red, which cannot be captured by knowing </w:t>
      </w:r>
      <w:r w:rsidR="000874FA">
        <w:rPr>
          <w:rFonts w:ascii="Garamond" w:hAnsi="Garamond"/>
        </w:rPr>
        <w:t xml:space="preserve">only </w:t>
      </w:r>
      <w:r w:rsidR="000874FA" w:rsidRPr="001869B5">
        <w:rPr>
          <w:rFonts w:ascii="Garamond" w:hAnsi="Garamond"/>
        </w:rPr>
        <w:t>propositions about red.</w:t>
      </w:r>
      <w:r w:rsidR="000874FA" w:rsidRPr="001869B5">
        <w:rPr>
          <w:rStyle w:val="FootnoteReference"/>
          <w:rFonts w:ascii="Garamond" w:hAnsi="Garamond"/>
        </w:rPr>
        <w:footnoteReference w:id="3"/>
      </w:r>
      <w:r w:rsidR="00EF49DA">
        <w:rPr>
          <w:rFonts w:ascii="Garamond" w:hAnsi="Garamond"/>
        </w:rPr>
        <w:t xml:space="preserve"> </w:t>
      </w:r>
    </w:p>
    <w:p w14:paraId="6457B8F4" w14:textId="32EF5854" w:rsidR="00230A54" w:rsidRPr="00EF49DA" w:rsidRDefault="000874FA" w:rsidP="00230A54">
      <w:pPr>
        <w:ind w:firstLine="720"/>
        <w:rPr>
          <w:rFonts w:ascii="Garamond" w:hAnsi="Garamond"/>
          <w:color w:val="000000"/>
          <w:lang w:eastAsia="en-GB"/>
        </w:rPr>
      </w:pPr>
      <w:r w:rsidRPr="001869B5">
        <w:rPr>
          <w:rFonts w:ascii="Garamond" w:hAnsi="Garamond"/>
        </w:rPr>
        <w:t xml:space="preserve">Stump thinks the same lesson can be applied to our knowledge of persons. She suggests that </w:t>
      </w:r>
      <w:r w:rsidRPr="001869B5">
        <w:rPr>
          <w:rFonts w:ascii="Garamond" w:hAnsi="Garamond"/>
          <w:color w:val="000000"/>
          <w:lang w:eastAsia="en-GB"/>
        </w:rPr>
        <w:t xml:space="preserve">if Mary were confined to </w:t>
      </w:r>
      <w:r w:rsidR="00903846">
        <w:rPr>
          <w:rFonts w:ascii="Garamond" w:hAnsi="Garamond"/>
          <w:color w:val="000000"/>
          <w:lang w:eastAsia="en-GB"/>
        </w:rPr>
        <w:t>a</w:t>
      </w:r>
      <w:r w:rsidRPr="001869B5">
        <w:rPr>
          <w:rFonts w:ascii="Garamond" w:hAnsi="Garamond"/>
          <w:color w:val="000000"/>
          <w:lang w:eastAsia="en-GB"/>
        </w:rPr>
        <w:t xml:space="preserve"> room with only propositions about other persons, she would learn something new in meeting her mother for the first time</w:t>
      </w:r>
      <w:r w:rsidR="00EF49DA">
        <w:rPr>
          <w:rFonts w:ascii="Garamond" w:hAnsi="Garamond"/>
          <w:color w:val="000000"/>
          <w:lang w:eastAsia="en-GB"/>
        </w:rPr>
        <w:t>, when she has a ‘second person experience’ (2010, 53) of her mother</w:t>
      </w:r>
      <w:r w:rsidRPr="001869B5">
        <w:rPr>
          <w:rFonts w:ascii="Garamond" w:hAnsi="Garamond"/>
          <w:color w:val="000000"/>
          <w:lang w:eastAsia="en-GB"/>
        </w:rPr>
        <w:t>.</w:t>
      </w:r>
      <w:r w:rsidR="00EF49DA">
        <w:rPr>
          <w:rFonts w:ascii="Garamond" w:hAnsi="Garamond"/>
          <w:color w:val="000000"/>
          <w:lang w:eastAsia="en-GB"/>
        </w:rPr>
        <w:t xml:space="preserve"> Stump writes that, </w:t>
      </w:r>
      <w:r w:rsidRPr="001869B5">
        <w:rPr>
          <w:rFonts w:ascii="Garamond" w:hAnsi="Garamond"/>
          <w:color w:val="000000"/>
          <w:lang w:eastAsia="en-GB"/>
        </w:rPr>
        <w:t>‘</w:t>
      </w:r>
      <w:r w:rsidR="00EF49DA">
        <w:rPr>
          <w:rFonts w:ascii="Garamond" w:hAnsi="Garamond"/>
          <w:color w:val="000000"/>
          <w:lang w:eastAsia="en-GB"/>
        </w:rPr>
        <w:t>[</w:t>
      </w:r>
      <w:proofErr w:type="spellStart"/>
      <w:r w:rsidR="00EF49DA">
        <w:rPr>
          <w:rFonts w:ascii="Garamond" w:hAnsi="Garamond"/>
          <w:color w:val="000000"/>
          <w:lang w:eastAsia="en-GB"/>
        </w:rPr>
        <w:t>i</w:t>
      </w:r>
      <w:proofErr w:type="spellEnd"/>
      <w:r w:rsidR="00EF49DA">
        <w:rPr>
          <w:rFonts w:ascii="Garamond" w:hAnsi="Garamond"/>
          <w:color w:val="000000"/>
          <w:lang w:eastAsia="en-GB"/>
        </w:rPr>
        <w:t>]</w:t>
      </w:r>
      <w:r w:rsidRPr="001869B5">
        <w:rPr>
          <w:rFonts w:ascii="Garamond" w:hAnsi="Garamond"/>
          <w:color w:val="000000"/>
          <w:lang w:eastAsia="en-GB"/>
        </w:rPr>
        <w:t xml:space="preserve">n her first direct and immediate encounter with another human being, Mary’s mind is opened to all that we learn and experience in face-to-face contact, the complex give-and-take of interpersonal interactions’ (2010, 53). </w:t>
      </w:r>
      <w:r w:rsidR="00B307E8">
        <w:rPr>
          <w:rFonts w:ascii="Garamond" w:hAnsi="Garamond"/>
          <w:color w:val="000000"/>
          <w:lang w:eastAsia="en-GB"/>
        </w:rPr>
        <w:t>Moreover, such experiences appear to be necessary for knowing someone personally. In reading only propositions about someone, I might come to know plenty about that person, but until I experience them, I cannot be said to know them.</w:t>
      </w:r>
      <w:r w:rsidR="00230A54">
        <w:rPr>
          <w:rFonts w:ascii="Garamond" w:hAnsi="Garamond"/>
          <w:color w:val="000000"/>
          <w:lang w:eastAsia="en-GB"/>
        </w:rPr>
        <w:t xml:space="preserve"> Whilst there are clearly differences between Mary’s experiencing her mother and her experiencing God (she cannot put her arms around God, or see his physical shape), Stump’s insight into the nature of personal knowledge is helpful for our understanding of liturgy. For as some philosophers have supposed, liturgy allows us to experience God second-personally and to gain non-propositional knowledge of what God is like.</w:t>
      </w:r>
    </w:p>
    <w:p w14:paraId="3CBC9E61" w14:textId="231C59F8" w:rsidR="000874FA" w:rsidRPr="001869B5" w:rsidRDefault="000874FA" w:rsidP="00EF49DA">
      <w:pPr>
        <w:ind w:firstLine="720"/>
        <w:rPr>
          <w:rFonts w:ascii="Garamond" w:hAnsi="Garamond"/>
          <w:color w:val="000000" w:themeColor="text1"/>
        </w:rPr>
      </w:pPr>
      <w:r w:rsidRPr="001869B5">
        <w:rPr>
          <w:rFonts w:ascii="Garamond" w:hAnsi="Garamond"/>
          <w:color w:val="000000"/>
          <w:lang w:eastAsia="en-GB"/>
        </w:rPr>
        <w:t xml:space="preserve">Stump suggests that this kind of phenomenal knowledge of persons helps to explain what we come to know in reading narrative. Just as we cannot reduce our knowledge of persons to some set of propositions about a person, a summary of propositions about a piece of literature would fall short of capturing what we come know in engaging with this text. </w:t>
      </w:r>
      <w:r w:rsidR="00EF49DA">
        <w:rPr>
          <w:rFonts w:ascii="Garamond" w:hAnsi="Garamond"/>
          <w:color w:val="000000"/>
          <w:lang w:eastAsia="en-GB"/>
        </w:rPr>
        <w:t>Moreover, Stump suggests, ‘</w:t>
      </w:r>
      <w:r w:rsidRPr="001869B5">
        <w:rPr>
          <w:rFonts w:ascii="Garamond" w:hAnsi="Garamond"/>
          <w:color w:val="000000" w:themeColor="text1"/>
        </w:rPr>
        <w:t>the knowledge of persons is that it can be t</w:t>
      </w:r>
      <w:r w:rsidR="00EF49DA">
        <w:rPr>
          <w:rFonts w:ascii="Garamond" w:hAnsi="Garamond"/>
          <w:color w:val="000000" w:themeColor="text1"/>
        </w:rPr>
        <w:t>ransmitted by means of stories’ (2015, 217). Telling stories allows us to ‘</w:t>
      </w:r>
      <w:r w:rsidRPr="001869B5">
        <w:rPr>
          <w:rFonts w:ascii="Garamond" w:hAnsi="Garamond"/>
          <w:color w:val="000000" w:themeColor="text1"/>
        </w:rPr>
        <w:t>re-present the experience itself in such a way that he can share the second-person experience to some degree with som</w:t>
      </w:r>
      <w:r w:rsidR="00EF49DA">
        <w:rPr>
          <w:rFonts w:ascii="Garamond" w:hAnsi="Garamond"/>
          <w:color w:val="000000" w:themeColor="text1"/>
        </w:rPr>
        <w:t>eone else who was not part of it’</w:t>
      </w:r>
      <w:r w:rsidRPr="001869B5">
        <w:rPr>
          <w:rFonts w:ascii="Garamond" w:hAnsi="Garamond"/>
          <w:color w:val="000000" w:themeColor="text1"/>
        </w:rPr>
        <w:t xml:space="preserve"> (2015, 217)</w:t>
      </w:r>
      <w:r w:rsidR="00EF49DA">
        <w:rPr>
          <w:rFonts w:ascii="Garamond" w:hAnsi="Garamond"/>
          <w:color w:val="000000" w:themeColor="text1"/>
        </w:rPr>
        <w:t xml:space="preserve">. </w:t>
      </w:r>
    </w:p>
    <w:p w14:paraId="56508300" w14:textId="2829BFAF" w:rsidR="000874FA" w:rsidRPr="001869B5" w:rsidRDefault="000874FA" w:rsidP="00EF49DA">
      <w:pPr>
        <w:pStyle w:val="NoSpacing"/>
        <w:ind w:firstLine="720"/>
        <w:rPr>
          <w:rFonts w:ascii="Garamond" w:hAnsi="Garamond"/>
          <w:color w:val="000000" w:themeColor="text1"/>
        </w:rPr>
      </w:pPr>
      <w:r w:rsidRPr="001869B5">
        <w:rPr>
          <w:rFonts w:ascii="Garamond" w:hAnsi="Garamond"/>
          <w:color w:val="000000" w:themeColor="text1"/>
        </w:rPr>
        <w:t xml:space="preserve">This observation, that narratives provide us with a kind of non-propositional personal knowledge has obvious applications to thinking about the epistemology of liturgy. As </w:t>
      </w:r>
      <w:r w:rsidR="00B307E8">
        <w:rPr>
          <w:rFonts w:ascii="Garamond" w:hAnsi="Garamond"/>
          <w:color w:val="000000" w:themeColor="text1"/>
        </w:rPr>
        <w:t xml:space="preserve">James K.A. </w:t>
      </w:r>
      <w:r w:rsidRPr="001869B5">
        <w:rPr>
          <w:rFonts w:ascii="Garamond" w:hAnsi="Garamond"/>
          <w:color w:val="000000" w:themeColor="text1"/>
        </w:rPr>
        <w:t xml:space="preserve">Smith notes, ‘Liturgies are compressed, repeated performance narratives that, over time, conscript us into the story they “tell” by showing, by performing’ (2009, 109). Much of the epistemological discussion of liturgy focuses on how engagement with the narrative of liturgy can </w:t>
      </w:r>
      <w:r w:rsidR="00EF49DA">
        <w:rPr>
          <w:rFonts w:ascii="Garamond" w:hAnsi="Garamond"/>
          <w:color w:val="000000" w:themeColor="text1"/>
        </w:rPr>
        <w:t>provide</w:t>
      </w:r>
      <w:r w:rsidRPr="001869B5">
        <w:rPr>
          <w:rFonts w:ascii="Garamond" w:hAnsi="Garamond"/>
          <w:color w:val="000000" w:themeColor="text1"/>
        </w:rPr>
        <w:t xml:space="preserve"> a way of knowing God. For instance, Stump argues that one of the primary ways in which the Eucharist allows for engagement with God is through the narrative which is</w:t>
      </w:r>
      <w:r w:rsidR="00B307E8">
        <w:rPr>
          <w:rFonts w:ascii="Garamond" w:hAnsi="Garamond"/>
          <w:color w:val="000000" w:themeColor="text1"/>
        </w:rPr>
        <w:t xml:space="preserve"> contained with it. She writes,</w:t>
      </w:r>
    </w:p>
    <w:p w14:paraId="69BE6A9E" w14:textId="77777777" w:rsidR="000874FA" w:rsidRPr="001869B5" w:rsidRDefault="000874FA" w:rsidP="000874FA">
      <w:pPr>
        <w:pStyle w:val="NoSpacing"/>
        <w:rPr>
          <w:rFonts w:ascii="Garamond" w:hAnsi="Garamond"/>
          <w:color w:val="000000" w:themeColor="text1"/>
        </w:rPr>
      </w:pPr>
    </w:p>
    <w:p w14:paraId="490D2483" w14:textId="77777777" w:rsidR="000874FA" w:rsidRPr="001869B5" w:rsidRDefault="000874FA" w:rsidP="000874FA">
      <w:pPr>
        <w:pStyle w:val="NoSpacing"/>
        <w:ind w:left="720"/>
        <w:rPr>
          <w:rFonts w:ascii="Garamond" w:hAnsi="Garamond"/>
          <w:color w:val="000000" w:themeColor="text1"/>
        </w:rPr>
      </w:pPr>
      <w:r w:rsidRPr="001869B5">
        <w:rPr>
          <w:rFonts w:ascii="Garamond" w:hAnsi="Garamond"/>
          <w:color w:val="000000" w:themeColor="text1"/>
        </w:rPr>
        <w:lastRenderedPageBreak/>
        <w:t>The moving knowledge of persons with respect to Christ mediated by the story which originally brought Paula to second-person experience of Christ is there again for her in every instance in which Paula participates appropriately in the Eucharist. …every time she participates in the rite, she will find that, however inclined she is to give up on herself or on God, God is still there, still loving her, still wanting her to come into union with himself…with every participation in the Eucharist, Paula will be strengthened for perseverance, in virtue of growing in love of God and in experience of God’s continued love and presence to her. (2015, 223-224)</w:t>
      </w:r>
    </w:p>
    <w:p w14:paraId="183E8BC3" w14:textId="77777777" w:rsidR="000874FA" w:rsidRPr="001869B5" w:rsidRDefault="000874FA" w:rsidP="000874FA">
      <w:pPr>
        <w:rPr>
          <w:rFonts w:ascii="Garamond" w:eastAsia="Times New Roman" w:hAnsi="Garamond"/>
          <w:color w:val="000000"/>
          <w:lang w:eastAsia="en-GB"/>
        </w:rPr>
      </w:pPr>
    </w:p>
    <w:p w14:paraId="328466F9" w14:textId="11B45590" w:rsidR="000874FA" w:rsidRPr="001869B5" w:rsidRDefault="000874FA" w:rsidP="000874FA">
      <w:pPr>
        <w:rPr>
          <w:rFonts w:ascii="Garamond" w:eastAsia="Times New Roman" w:hAnsi="Garamond"/>
          <w:color w:val="000000"/>
          <w:lang w:eastAsia="en-GB"/>
        </w:rPr>
      </w:pPr>
      <w:r w:rsidRPr="001869B5">
        <w:rPr>
          <w:rFonts w:ascii="Garamond" w:eastAsia="Times New Roman" w:hAnsi="Garamond"/>
          <w:color w:val="000000"/>
          <w:lang w:eastAsia="en-GB"/>
        </w:rPr>
        <w:t xml:space="preserve">Whilst a narrative model can help to explain the nature of our experience of God in liturgy, care is needed in thinking about how best to capture this kind of narrative experience which takes place. As </w:t>
      </w:r>
      <w:r w:rsidR="00B307E8">
        <w:rPr>
          <w:rFonts w:ascii="Garamond" w:eastAsia="Times New Roman" w:hAnsi="Garamond"/>
          <w:color w:val="000000"/>
          <w:lang w:eastAsia="en-GB"/>
        </w:rPr>
        <w:t xml:space="preserve">Nicholas </w:t>
      </w:r>
      <w:r w:rsidRPr="001869B5">
        <w:rPr>
          <w:rFonts w:ascii="Garamond" w:eastAsia="Times New Roman" w:hAnsi="Garamond"/>
          <w:color w:val="000000"/>
          <w:lang w:eastAsia="en-GB"/>
        </w:rPr>
        <w:t>Wolterstorff draws attention to in his earlier work, we cannot think of liturgy only in terms of dramatic re-enactment, since this ‘displaces the focus from the actuality of what is presently taking place</w:t>
      </w:r>
      <w:r>
        <w:rPr>
          <w:rFonts w:ascii="Garamond" w:eastAsia="Times New Roman" w:hAnsi="Garamond"/>
          <w:color w:val="000000"/>
          <w:lang w:eastAsia="en-GB"/>
        </w:rPr>
        <w:t>’</w:t>
      </w:r>
      <w:r w:rsidRPr="001869B5">
        <w:rPr>
          <w:rFonts w:ascii="Garamond" w:eastAsia="Times New Roman" w:hAnsi="Garamond"/>
          <w:color w:val="000000"/>
          <w:lang w:eastAsia="en-GB"/>
        </w:rPr>
        <w:t xml:space="preserve"> (1990, 146); ‘The celebrant actually blesses; he does not play the role of Christ blessing’ (1990, 146). </w:t>
      </w:r>
      <w:r w:rsidR="00B307E8">
        <w:rPr>
          <w:rFonts w:ascii="Garamond" w:eastAsia="Times New Roman" w:hAnsi="Garamond"/>
          <w:color w:val="000000"/>
          <w:lang w:eastAsia="en-GB"/>
        </w:rPr>
        <w:t>Cuneo, in his essay</w:t>
      </w:r>
      <w:r w:rsidRPr="001869B5">
        <w:rPr>
          <w:rFonts w:ascii="Garamond" w:eastAsia="Times New Roman" w:hAnsi="Garamond"/>
          <w:color w:val="000000"/>
          <w:lang w:eastAsia="en-GB"/>
        </w:rPr>
        <w:t xml:space="preserve"> on liturgical immersion, attempts to provide such an account, which allows for the role of narrative knowledge, yet does not depict our engagement as mere re-enactment. As he summarizes his position, </w:t>
      </w:r>
    </w:p>
    <w:p w14:paraId="1C6F1B9A" w14:textId="77777777" w:rsidR="000874FA" w:rsidRPr="001869B5" w:rsidRDefault="000874FA" w:rsidP="000874FA">
      <w:pPr>
        <w:rPr>
          <w:rFonts w:ascii="Garamond" w:eastAsia="Times New Roman" w:hAnsi="Garamond"/>
          <w:color w:val="000000"/>
          <w:lang w:eastAsia="en-GB"/>
        </w:rPr>
      </w:pPr>
    </w:p>
    <w:p w14:paraId="6D829ED0" w14:textId="4C504CC2" w:rsidR="000874FA" w:rsidRPr="001869B5" w:rsidRDefault="000874FA" w:rsidP="000874FA">
      <w:pPr>
        <w:ind w:left="720"/>
        <w:rPr>
          <w:rFonts w:ascii="Garamond" w:eastAsia="Times New Roman" w:hAnsi="Garamond"/>
          <w:color w:val="000000"/>
          <w:lang w:eastAsia="en-GB"/>
        </w:rPr>
      </w:pPr>
      <w:r w:rsidRPr="001869B5">
        <w:rPr>
          <w:rFonts w:ascii="Garamond" w:eastAsia="Times New Roman" w:hAnsi="Garamond"/>
          <w:color w:val="000000"/>
          <w:lang w:eastAsia="en-GB"/>
        </w:rPr>
        <w:t xml:space="preserve">Participating in liturgical re-enactment…is not to engage in the activity of reading a narrative-work. It is, rather, to insert oneself into a complex sequence of scripted action performance. In its use of various sensory modalities and bodily movement, it is more similar to both dramatic performance and the observation of such performance…the activity called for is not that of pretending to be a disciple present at the rite </w:t>
      </w:r>
      <w:r w:rsidR="00EF49DA">
        <w:rPr>
          <w:rFonts w:ascii="Garamond" w:eastAsia="Times New Roman" w:hAnsi="Garamond"/>
          <w:color w:val="000000"/>
          <w:lang w:eastAsia="en-GB"/>
        </w:rPr>
        <w:t>or</w:t>
      </w:r>
      <w:r w:rsidRPr="001869B5">
        <w:rPr>
          <w:rFonts w:ascii="Garamond" w:eastAsia="Times New Roman" w:hAnsi="Garamond"/>
          <w:color w:val="000000"/>
          <w:lang w:eastAsia="en-GB"/>
        </w:rPr>
        <w:t xml:space="preserve"> pretending to be present at the rite in one’s own person. Rather, what the script calls for is that </w:t>
      </w:r>
      <w:proofErr w:type="gramStart"/>
      <w:r w:rsidRPr="001869B5">
        <w:rPr>
          <w:rFonts w:ascii="Garamond" w:eastAsia="Times New Roman" w:hAnsi="Garamond"/>
          <w:color w:val="000000"/>
          <w:lang w:eastAsia="en-GB"/>
        </w:rPr>
        <w:t>those assembled attend</w:t>
      </w:r>
      <w:proofErr w:type="gramEnd"/>
      <w:r w:rsidRPr="001869B5">
        <w:rPr>
          <w:rFonts w:ascii="Garamond" w:eastAsia="Times New Roman" w:hAnsi="Garamond"/>
          <w:color w:val="000000"/>
          <w:lang w:eastAsia="en-GB"/>
        </w:rPr>
        <w:t xml:space="preserve"> to and take up a vantage point within the core narrative, screening-off various features of the presentation of this narrative and sometimes certain features of the narrative itself. (2016, 82)</w:t>
      </w:r>
    </w:p>
    <w:p w14:paraId="4713706C" w14:textId="77777777" w:rsidR="000874FA" w:rsidRPr="001869B5" w:rsidRDefault="000874FA" w:rsidP="000874FA">
      <w:pPr>
        <w:rPr>
          <w:rFonts w:ascii="Garamond" w:eastAsia="Times New Roman" w:hAnsi="Garamond"/>
          <w:color w:val="000000"/>
          <w:lang w:eastAsia="en-GB"/>
        </w:rPr>
      </w:pPr>
    </w:p>
    <w:p w14:paraId="1EB0D083" w14:textId="5969427A" w:rsidR="00B307E8" w:rsidRDefault="000874FA" w:rsidP="000874FA">
      <w:pPr>
        <w:rPr>
          <w:rFonts w:ascii="Garamond" w:eastAsia="Times New Roman" w:hAnsi="Garamond"/>
          <w:color w:val="000000"/>
          <w:lang w:eastAsia="en-GB"/>
        </w:rPr>
      </w:pPr>
      <w:r w:rsidRPr="001869B5">
        <w:rPr>
          <w:rFonts w:ascii="Garamond" w:eastAsia="Times New Roman" w:hAnsi="Garamond"/>
          <w:color w:val="000000"/>
          <w:lang w:eastAsia="en-GB"/>
        </w:rPr>
        <w:t>As Cuneo goes on to argue, the purpose of this kind of immersion is for participants to engage with the narrative of the Christian gospel in such a way that their identities are challenged and revised by God through the liturgy (2016, 87).</w:t>
      </w:r>
      <w:r w:rsidR="00B307E8">
        <w:rPr>
          <w:rStyle w:val="FootnoteReference"/>
          <w:rFonts w:ascii="Garamond" w:eastAsia="Times New Roman" w:hAnsi="Garamond"/>
          <w:color w:val="000000"/>
          <w:lang w:eastAsia="en-GB"/>
        </w:rPr>
        <w:footnoteReference w:id="4"/>
      </w:r>
      <w:r w:rsidRPr="001869B5">
        <w:rPr>
          <w:rFonts w:ascii="Garamond" w:eastAsia="Times New Roman" w:hAnsi="Garamond"/>
          <w:color w:val="000000"/>
          <w:lang w:eastAsia="en-GB"/>
        </w:rPr>
        <w:t xml:space="preserve"> </w:t>
      </w:r>
      <w:r w:rsidR="00EF49DA">
        <w:rPr>
          <w:rFonts w:ascii="Garamond" w:eastAsia="Times New Roman" w:hAnsi="Garamond"/>
          <w:color w:val="000000"/>
          <w:lang w:eastAsia="en-GB"/>
        </w:rPr>
        <w:t xml:space="preserve">This seems to be very close to Stump’s account of narrative experience and liturgy.  </w:t>
      </w:r>
    </w:p>
    <w:p w14:paraId="0E8AF619" w14:textId="08070C54" w:rsidR="00964406" w:rsidRPr="00B307E8" w:rsidRDefault="00964406" w:rsidP="00B307E8">
      <w:pPr>
        <w:pStyle w:val="NoSpacing"/>
        <w:ind w:firstLine="720"/>
        <w:rPr>
          <w:rFonts w:ascii="Garamond" w:hAnsi="Garamond"/>
          <w:color w:val="000000" w:themeColor="text1"/>
        </w:rPr>
      </w:pPr>
      <w:r w:rsidRPr="001869B5">
        <w:rPr>
          <w:rFonts w:ascii="Garamond" w:hAnsi="Garamond"/>
          <w:color w:val="000000" w:themeColor="text1"/>
        </w:rPr>
        <w:t xml:space="preserve">Wolterstorff’s account of acquiring </w:t>
      </w:r>
      <w:r w:rsidR="00EF49DA">
        <w:rPr>
          <w:rFonts w:ascii="Garamond" w:hAnsi="Garamond"/>
          <w:color w:val="000000" w:themeColor="text1"/>
        </w:rPr>
        <w:t xml:space="preserve">phenomenal </w:t>
      </w:r>
      <w:r w:rsidRPr="001869B5">
        <w:rPr>
          <w:rFonts w:ascii="Garamond" w:hAnsi="Garamond"/>
          <w:color w:val="000000" w:themeColor="text1"/>
        </w:rPr>
        <w:t xml:space="preserve">knowledge of what God is like focusing not on the narratives of Christian liturgy, </w:t>
      </w:r>
      <w:r>
        <w:rPr>
          <w:rFonts w:ascii="Garamond" w:hAnsi="Garamond"/>
          <w:color w:val="000000" w:themeColor="text1"/>
        </w:rPr>
        <w:t>but, rather</w:t>
      </w:r>
      <w:r w:rsidRPr="001869B5">
        <w:rPr>
          <w:rFonts w:ascii="Garamond" w:hAnsi="Garamond"/>
          <w:color w:val="000000" w:themeColor="text1"/>
        </w:rPr>
        <w:t>, on those aspects of God’s character that are taken for granted in the repeated practices which we engage in. Wolterstorff</w:t>
      </w:r>
      <w:r w:rsidRPr="001869B5">
        <w:rPr>
          <w:rFonts w:ascii="Garamond" w:hAnsi="Garamond"/>
          <w:color w:val="000000"/>
          <w:lang w:eastAsia="en-GB"/>
        </w:rPr>
        <w:t xml:space="preserve"> focuses on the kind of knowledge that could be gained from our addressing God in liturgy. For instance, </w:t>
      </w:r>
      <w:r w:rsidRPr="001869B5">
        <w:rPr>
          <w:rFonts w:ascii="Garamond" w:eastAsia="Times New Roman" w:hAnsi="Garamond"/>
          <w:lang w:eastAsia="en-GB"/>
        </w:rPr>
        <w:t xml:space="preserve">in the Episcopal liturgy, the participants use the following words: </w:t>
      </w:r>
    </w:p>
    <w:p w14:paraId="040FDBA7" w14:textId="77777777" w:rsidR="00964406" w:rsidRPr="001869B5" w:rsidRDefault="00964406" w:rsidP="00964406">
      <w:pPr>
        <w:rPr>
          <w:rFonts w:ascii="Garamond" w:eastAsia="Times New Roman" w:hAnsi="Garamond"/>
          <w:lang w:eastAsia="en-GB"/>
        </w:rPr>
      </w:pPr>
    </w:p>
    <w:p w14:paraId="6F6A3C7A" w14:textId="77777777" w:rsidR="00964406" w:rsidRPr="001869B5" w:rsidRDefault="00964406" w:rsidP="00964406">
      <w:pPr>
        <w:ind w:firstLine="720"/>
        <w:rPr>
          <w:rFonts w:ascii="Garamond" w:eastAsia="Times New Roman" w:hAnsi="Garamond"/>
          <w:lang w:eastAsia="en-GB"/>
        </w:rPr>
      </w:pPr>
      <w:r w:rsidRPr="001869B5">
        <w:rPr>
          <w:rFonts w:ascii="Garamond" w:eastAsia="Times New Roman" w:hAnsi="Garamond"/>
          <w:lang w:eastAsia="en-GB"/>
        </w:rPr>
        <w:t>Eternal God, heavenly Father,</w:t>
      </w:r>
    </w:p>
    <w:p w14:paraId="599F17F8" w14:textId="77777777" w:rsidR="00964406" w:rsidRPr="001869B5" w:rsidRDefault="00964406" w:rsidP="00964406">
      <w:pPr>
        <w:rPr>
          <w:rFonts w:ascii="Garamond" w:eastAsia="Times New Roman" w:hAnsi="Garamond"/>
          <w:lang w:eastAsia="en-GB"/>
        </w:rPr>
      </w:pPr>
      <w:r w:rsidRPr="001869B5">
        <w:rPr>
          <w:rFonts w:ascii="Garamond" w:eastAsia="Times New Roman" w:hAnsi="Garamond"/>
          <w:lang w:eastAsia="en-GB"/>
        </w:rPr>
        <w:tab/>
      </w:r>
      <w:r w:rsidRPr="001869B5">
        <w:rPr>
          <w:rFonts w:ascii="Garamond" w:eastAsia="Times New Roman" w:hAnsi="Garamond"/>
          <w:i/>
          <w:lang w:eastAsia="en-GB"/>
        </w:rPr>
        <w:t xml:space="preserve">you </w:t>
      </w:r>
      <w:r w:rsidRPr="001869B5">
        <w:rPr>
          <w:rFonts w:ascii="Garamond" w:eastAsia="Times New Roman" w:hAnsi="Garamond"/>
          <w:lang w:eastAsia="en-GB"/>
        </w:rPr>
        <w:t>have graciously accepted us as living members</w:t>
      </w:r>
    </w:p>
    <w:p w14:paraId="4767647A" w14:textId="77777777" w:rsidR="00964406" w:rsidRPr="001869B5" w:rsidRDefault="00964406" w:rsidP="00964406">
      <w:pPr>
        <w:rPr>
          <w:rFonts w:ascii="Garamond" w:eastAsia="Times New Roman" w:hAnsi="Garamond"/>
          <w:lang w:eastAsia="en-GB"/>
        </w:rPr>
      </w:pPr>
      <w:r w:rsidRPr="001869B5">
        <w:rPr>
          <w:rFonts w:ascii="Garamond" w:eastAsia="Times New Roman" w:hAnsi="Garamond"/>
          <w:lang w:eastAsia="en-GB"/>
        </w:rPr>
        <w:tab/>
        <w:t xml:space="preserve">of </w:t>
      </w:r>
      <w:r w:rsidRPr="001869B5">
        <w:rPr>
          <w:rFonts w:ascii="Garamond" w:eastAsia="Times New Roman" w:hAnsi="Garamond"/>
          <w:i/>
          <w:lang w:eastAsia="en-GB"/>
        </w:rPr>
        <w:t xml:space="preserve">your </w:t>
      </w:r>
      <w:r w:rsidRPr="001869B5">
        <w:rPr>
          <w:rFonts w:ascii="Garamond" w:eastAsia="Times New Roman" w:hAnsi="Garamond"/>
          <w:lang w:eastAsia="en-GB"/>
        </w:rPr>
        <w:t xml:space="preserve">Son our </w:t>
      </w:r>
      <w:proofErr w:type="spellStart"/>
      <w:r w:rsidRPr="001869B5">
        <w:rPr>
          <w:rFonts w:ascii="Garamond" w:eastAsia="Times New Roman" w:hAnsi="Garamond"/>
          <w:lang w:eastAsia="en-GB"/>
        </w:rPr>
        <w:t>Savior</w:t>
      </w:r>
      <w:proofErr w:type="spellEnd"/>
      <w:r w:rsidRPr="001869B5">
        <w:rPr>
          <w:rFonts w:ascii="Garamond" w:eastAsia="Times New Roman" w:hAnsi="Garamond"/>
          <w:lang w:eastAsia="en-GB"/>
        </w:rPr>
        <w:t xml:space="preserve"> Jesus Christ,</w:t>
      </w:r>
    </w:p>
    <w:p w14:paraId="64867EED" w14:textId="77777777" w:rsidR="00964406" w:rsidRPr="001869B5" w:rsidRDefault="00964406" w:rsidP="00964406">
      <w:pPr>
        <w:rPr>
          <w:rFonts w:ascii="Garamond" w:eastAsia="Times New Roman" w:hAnsi="Garamond"/>
          <w:lang w:eastAsia="en-GB"/>
        </w:rPr>
      </w:pPr>
      <w:r w:rsidRPr="001869B5">
        <w:rPr>
          <w:rFonts w:ascii="Garamond" w:eastAsia="Times New Roman" w:hAnsi="Garamond"/>
          <w:lang w:eastAsia="en-GB"/>
        </w:rPr>
        <w:tab/>
        <w:t xml:space="preserve">and </w:t>
      </w:r>
      <w:r w:rsidRPr="001869B5">
        <w:rPr>
          <w:rFonts w:ascii="Garamond" w:eastAsia="Times New Roman" w:hAnsi="Garamond"/>
          <w:i/>
          <w:lang w:eastAsia="en-GB"/>
        </w:rPr>
        <w:t xml:space="preserve">you </w:t>
      </w:r>
      <w:r w:rsidRPr="001869B5">
        <w:rPr>
          <w:rFonts w:ascii="Garamond" w:eastAsia="Times New Roman" w:hAnsi="Garamond"/>
          <w:lang w:eastAsia="en-GB"/>
        </w:rPr>
        <w:t>have fed us with spiritual food</w:t>
      </w:r>
    </w:p>
    <w:p w14:paraId="16C02570" w14:textId="0F7361CB" w:rsidR="00964406" w:rsidRPr="001869B5" w:rsidRDefault="00964406" w:rsidP="00964406">
      <w:pPr>
        <w:ind w:left="720"/>
        <w:rPr>
          <w:rFonts w:ascii="Garamond" w:eastAsia="Times New Roman" w:hAnsi="Garamond"/>
          <w:lang w:eastAsia="en-GB"/>
        </w:rPr>
      </w:pPr>
      <w:r w:rsidRPr="001869B5">
        <w:rPr>
          <w:rFonts w:ascii="Garamond" w:eastAsia="Times New Roman" w:hAnsi="Garamond"/>
          <w:lang w:eastAsia="en-GB"/>
        </w:rPr>
        <w:t>and the Sacrament of his Body and Blood. (</w:t>
      </w:r>
      <w:r w:rsidR="00EF49DA">
        <w:rPr>
          <w:rFonts w:ascii="Garamond" w:eastAsia="Times New Roman" w:hAnsi="Garamond"/>
          <w:lang w:eastAsia="en-GB"/>
        </w:rPr>
        <w:t xml:space="preserve">Wolterstorff, </w:t>
      </w:r>
      <w:r w:rsidRPr="001869B5">
        <w:rPr>
          <w:rFonts w:ascii="Garamond" w:eastAsia="Times New Roman" w:hAnsi="Garamond"/>
          <w:lang w:eastAsia="en-GB"/>
        </w:rPr>
        <w:t>2010, 56</w:t>
      </w:r>
      <w:r w:rsidR="00EF49DA">
        <w:rPr>
          <w:rFonts w:ascii="Garamond" w:eastAsia="Times New Roman" w:hAnsi="Garamond"/>
          <w:lang w:eastAsia="en-GB"/>
        </w:rPr>
        <w:t>)</w:t>
      </w:r>
    </w:p>
    <w:p w14:paraId="6468FD45" w14:textId="77777777" w:rsidR="00964406" w:rsidRPr="001869B5" w:rsidRDefault="00964406" w:rsidP="00964406">
      <w:pPr>
        <w:rPr>
          <w:rFonts w:ascii="Garamond" w:hAnsi="Garamond"/>
          <w:color w:val="000000"/>
          <w:lang w:eastAsia="en-GB"/>
        </w:rPr>
      </w:pPr>
    </w:p>
    <w:p w14:paraId="2AC93A20" w14:textId="31F41DDD" w:rsidR="00964406" w:rsidRPr="001869B5" w:rsidRDefault="00964406" w:rsidP="00964406">
      <w:pPr>
        <w:rPr>
          <w:rFonts w:ascii="Garamond" w:hAnsi="Garamond"/>
          <w:color w:val="000000"/>
          <w:lang w:eastAsia="en-GB"/>
        </w:rPr>
      </w:pPr>
      <w:r w:rsidRPr="001869B5">
        <w:rPr>
          <w:rFonts w:ascii="Garamond" w:hAnsi="Garamond"/>
          <w:color w:val="000000"/>
          <w:lang w:eastAsia="en-GB"/>
        </w:rPr>
        <w:t xml:space="preserve">According to Wolterstorff, addressing </w:t>
      </w:r>
      <w:r w:rsidRPr="001869B5">
        <w:rPr>
          <w:rFonts w:ascii="Garamond" w:hAnsi="Garamond"/>
          <w:lang w:eastAsia="en-GB"/>
        </w:rPr>
        <w:t>God in this way</w:t>
      </w:r>
      <w:r w:rsidRPr="001869B5">
        <w:rPr>
          <w:rFonts w:ascii="Garamond" w:hAnsi="Garamond"/>
          <w:color w:val="000000"/>
          <w:lang w:eastAsia="en-GB"/>
        </w:rPr>
        <w:t xml:space="preserve"> can allow us to gain knowledge in virtue of the things we take for granted. Just as in taking for granted that the world existed before we were born, it is possible for us to know that the world existed before we were born, in taking for granted certain things about God through our use of liturgy, we can come to know that God is a </w:t>
      </w:r>
      <w:r w:rsidRPr="001869B5">
        <w:rPr>
          <w:rFonts w:ascii="Garamond" w:hAnsi="Garamond"/>
          <w:color w:val="000000"/>
          <w:lang w:eastAsia="en-GB"/>
        </w:rPr>
        <w:lastRenderedPageBreak/>
        <w:t>ce</w:t>
      </w:r>
      <w:r w:rsidR="00EF49DA">
        <w:rPr>
          <w:rFonts w:ascii="Garamond" w:hAnsi="Garamond"/>
          <w:color w:val="000000"/>
          <w:lang w:eastAsia="en-GB"/>
        </w:rPr>
        <w:t xml:space="preserve">rtain way. We can come to know </w:t>
      </w:r>
      <w:r w:rsidRPr="001869B5">
        <w:rPr>
          <w:rFonts w:ascii="Garamond" w:hAnsi="Garamond"/>
          <w:color w:val="000000"/>
          <w:lang w:eastAsia="en-GB"/>
        </w:rPr>
        <w:t xml:space="preserve">God </w:t>
      </w:r>
      <w:r w:rsidR="00EF49DA">
        <w:rPr>
          <w:rFonts w:ascii="Garamond" w:hAnsi="Garamond"/>
          <w:color w:val="000000"/>
          <w:lang w:eastAsia="en-GB"/>
        </w:rPr>
        <w:t>as</w:t>
      </w:r>
      <w:r w:rsidRPr="001869B5">
        <w:rPr>
          <w:rFonts w:ascii="Garamond" w:hAnsi="Garamond"/>
          <w:color w:val="000000"/>
          <w:lang w:eastAsia="en-GB"/>
        </w:rPr>
        <w:t xml:space="preserve"> </w:t>
      </w:r>
      <w:r w:rsidR="00EF49DA">
        <w:rPr>
          <w:rFonts w:ascii="Garamond" w:hAnsi="Garamond"/>
          <w:color w:val="000000"/>
          <w:lang w:eastAsia="en-GB"/>
        </w:rPr>
        <w:t xml:space="preserve">being </w:t>
      </w:r>
      <w:r w:rsidRPr="001869B5">
        <w:rPr>
          <w:rFonts w:ascii="Garamond" w:hAnsi="Garamond"/>
          <w:color w:val="000000"/>
          <w:lang w:eastAsia="en-GB"/>
        </w:rPr>
        <w:t xml:space="preserve">worthy of praise and adoration and </w:t>
      </w:r>
      <w:r w:rsidR="00EF49DA">
        <w:rPr>
          <w:rFonts w:ascii="Garamond" w:hAnsi="Garamond"/>
          <w:color w:val="000000"/>
          <w:lang w:eastAsia="en-GB"/>
        </w:rPr>
        <w:t>as being</w:t>
      </w:r>
      <w:r w:rsidRPr="001869B5">
        <w:rPr>
          <w:rFonts w:ascii="Garamond" w:hAnsi="Garamond"/>
          <w:color w:val="000000"/>
          <w:lang w:eastAsia="en-GB"/>
        </w:rPr>
        <w:t xml:space="preserve"> capable of listening</w:t>
      </w:r>
      <w:r w:rsidR="00EF49DA">
        <w:rPr>
          <w:rFonts w:ascii="Garamond" w:hAnsi="Garamond"/>
          <w:color w:val="000000"/>
          <w:lang w:eastAsia="en-GB"/>
        </w:rPr>
        <w:t xml:space="preserve"> to us: </w:t>
      </w:r>
    </w:p>
    <w:p w14:paraId="04C7B359" w14:textId="77777777" w:rsidR="00964406" w:rsidRPr="001869B5" w:rsidRDefault="00964406" w:rsidP="00964406">
      <w:pPr>
        <w:rPr>
          <w:rFonts w:ascii="Garamond" w:hAnsi="Garamond"/>
          <w:color w:val="000000"/>
          <w:lang w:eastAsia="en-GB"/>
        </w:rPr>
      </w:pPr>
      <w:r w:rsidRPr="001869B5">
        <w:rPr>
          <w:rFonts w:ascii="Garamond" w:hAnsi="Garamond"/>
          <w:color w:val="000000"/>
          <w:lang w:eastAsia="en-GB"/>
        </w:rPr>
        <w:t xml:space="preserve"> </w:t>
      </w:r>
    </w:p>
    <w:p w14:paraId="7C380903" w14:textId="2CEB6483" w:rsidR="00964406" w:rsidRPr="001869B5" w:rsidRDefault="00EF49DA" w:rsidP="00964406">
      <w:pPr>
        <w:ind w:left="720"/>
        <w:rPr>
          <w:rFonts w:ascii="Garamond" w:hAnsi="Garamond"/>
          <w:lang w:eastAsia="en-GB"/>
        </w:rPr>
      </w:pPr>
      <w:r>
        <w:rPr>
          <w:rFonts w:ascii="Garamond" w:hAnsi="Garamond"/>
          <w:color w:val="000000"/>
          <w:lang w:eastAsia="en-GB"/>
        </w:rPr>
        <w:t>T</w:t>
      </w:r>
      <w:r w:rsidR="00964406" w:rsidRPr="001869B5">
        <w:rPr>
          <w:rFonts w:ascii="Garamond" w:hAnsi="Garamond"/>
          <w:color w:val="000000"/>
          <w:lang w:eastAsia="en-GB"/>
        </w:rPr>
        <w:t>o participate in engaging God liturgically in the form of addressing God is to take God to be a ‘thou’ whom it is appropriate to address, to take God to be capable of listening, to take God to be worthy of praise and adoration, to take God to be capable of listening, to take God to be worthy of praise and adoration… (2016, 13)</w:t>
      </w:r>
    </w:p>
    <w:p w14:paraId="0CBEB453" w14:textId="77777777" w:rsidR="00964406" w:rsidRPr="001869B5" w:rsidRDefault="00964406" w:rsidP="00964406">
      <w:pPr>
        <w:rPr>
          <w:rFonts w:ascii="Garamond" w:eastAsia="Times New Roman" w:hAnsi="Garamond"/>
          <w:color w:val="000000"/>
          <w:lang w:eastAsia="en-GB"/>
        </w:rPr>
      </w:pPr>
    </w:p>
    <w:p w14:paraId="424451F9" w14:textId="37290980" w:rsidR="00EF49DA" w:rsidRPr="001869B5" w:rsidRDefault="00964406" w:rsidP="00964406">
      <w:pPr>
        <w:rPr>
          <w:rFonts w:ascii="Garamond" w:eastAsia="Times New Roman" w:hAnsi="Garamond"/>
          <w:color w:val="000000"/>
          <w:lang w:eastAsia="en-GB"/>
        </w:rPr>
      </w:pPr>
      <w:r w:rsidRPr="001869B5">
        <w:rPr>
          <w:rFonts w:ascii="Garamond" w:eastAsia="Times New Roman" w:hAnsi="Garamond"/>
          <w:color w:val="000000"/>
          <w:lang w:eastAsia="en-GB"/>
        </w:rPr>
        <w:t xml:space="preserve">Wolterstorff sees his position as complementing </w:t>
      </w:r>
      <w:r w:rsidR="00EF49DA">
        <w:rPr>
          <w:rFonts w:ascii="Garamond" w:eastAsia="Times New Roman" w:hAnsi="Garamond"/>
          <w:color w:val="000000"/>
          <w:lang w:eastAsia="en-GB"/>
        </w:rPr>
        <w:t xml:space="preserve">Stump’s account of personal knowledge and liturgy, as well as adding another way in which liturgy allows us to know God. </w:t>
      </w:r>
      <w:r w:rsidR="00903846">
        <w:rPr>
          <w:rFonts w:ascii="Garamond" w:eastAsia="Times New Roman" w:hAnsi="Garamond"/>
          <w:color w:val="000000"/>
          <w:lang w:eastAsia="en-GB"/>
        </w:rPr>
        <w:t xml:space="preserve">Moreover, even in traditions where no written liturgical script is used, there will be many descriptions of God which are repeated and taken for granted by those participating in the liturgy. </w:t>
      </w:r>
    </w:p>
    <w:p w14:paraId="4809724C" w14:textId="2FA3430C" w:rsidR="00964406" w:rsidRPr="00E372E1" w:rsidRDefault="00964406" w:rsidP="00964406">
      <w:pPr>
        <w:rPr>
          <w:rFonts w:ascii="Garamond" w:eastAsia="Times New Roman" w:hAnsi="Garamond" w:cs="Times New Roman"/>
          <w:color w:val="000000" w:themeColor="text1"/>
        </w:rPr>
      </w:pPr>
      <w:r w:rsidRPr="00E372E1">
        <w:rPr>
          <w:rFonts w:ascii="Garamond" w:eastAsia="Times New Roman" w:hAnsi="Garamond"/>
          <w:color w:val="000000"/>
          <w:lang w:eastAsia="en-GB"/>
        </w:rPr>
        <w:tab/>
        <w:t xml:space="preserve">Finally, a further way in which phenomenal knowledge of God has been depicted in the literature is through some kind of direct experience of God, made possible by liturgy. Adam Green and Keith </w:t>
      </w:r>
      <w:r>
        <w:rPr>
          <w:rFonts w:ascii="Garamond" w:eastAsia="Times New Roman" w:hAnsi="Garamond"/>
          <w:color w:val="000000"/>
          <w:lang w:eastAsia="en-GB"/>
        </w:rPr>
        <w:t xml:space="preserve">A. </w:t>
      </w:r>
      <w:r w:rsidRPr="00E372E1">
        <w:rPr>
          <w:rFonts w:ascii="Garamond" w:eastAsia="Times New Roman" w:hAnsi="Garamond"/>
          <w:color w:val="000000"/>
          <w:lang w:eastAsia="en-GB"/>
        </w:rPr>
        <w:t>Quan (2012) have considered the question of how reading Scripture can occasion shared-attention experiences with God.</w:t>
      </w:r>
      <w:r w:rsidR="00903846">
        <w:rPr>
          <w:rStyle w:val="FootnoteReference"/>
          <w:rFonts w:ascii="Garamond" w:eastAsia="Times New Roman" w:hAnsi="Garamond"/>
          <w:color w:val="000000"/>
          <w:lang w:eastAsia="en-GB"/>
        </w:rPr>
        <w:footnoteReference w:id="5"/>
      </w:r>
      <w:r w:rsidRPr="00E372E1">
        <w:rPr>
          <w:rFonts w:ascii="Garamond" w:eastAsia="Times New Roman" w:hAnsi="Garamond"/>
          <w:color w:val="000000"/>
          <w:lang w:eastAsia="en-GB"/>
        </w:rPr>
        <w:t xml:space="preserve"> Whilst their work is not directly related to liturgy, there are obvious extensions. Indeed, in work by Joshua Cockayne et al, (2017) it has been suggested that the Eucharistic meal might be the means of attention sharing between an individual and God. By shared-attention, Green and Quan have in mind the experience of being aware of another person’s awareness, a phenomenon which is much discussed in the psychological literature.</w:t>
      </w:r>
      <w:r w:rsidRPr="00E372E1">
        <w:rPr>
          <w:rStyle w:val="FootnoteReference"/>
          <w:rFonts w:ascii="Garamond" w:eastAsia="Times New Roman" w:hAnsi="Garamond"/>
          <w:color w:val="000000"/>
          <w:lang w:eastAsia="en-GB"/>
        </w:rPr>
        <w:footnoteReference w:id="6"/>
      </w:r>
      <w:r w:rsidRPr="00E372E1">
        <w:rPr>
          <w:rFonts w:ascii="Garamond" w:eastAsia="Times New Roman" w:hAnsi="Garamond"/>
          <w:color w:val="000000"/>
          <w:lang w:eastAsia="en-GB"/>
        </w:rPr>
        <w:t xml:space="preserve"> Moreover, such awareness moves from being dyadic to being triadic in the case that subjects move from attending only to one another, towards mutually attending to some object. In </w:t>
      </w:r>
      <w:r w:rsidR="00EF49DA">
        <w:rPr>
          <w:rFonts w:ascii="Garamond" w:eastAsia="Times New Roman" w:hAnsi="Garamond"/>
          <w:color w:val="000000"/>
          <w:lang w:eastAsia="en-GB"/>
        </w:rPr>
        <w:t xml:space="preserve">the </w:t>
      </w:r>
      <w:r w:rsidRPr="00E372E1">
        <w:rPr>
          <w:rFonts w:ascii="Garamond" w:eastAsia="Times New Roman" w:hAnsi="Garamond"/>
          <w:color w:val="000000"/>
          <w:lang w:eastAsia="en-GB"/>
        </w:rPr>
        <w:t>case of Scripture, Green and Quan suggest that the text might allow for a kind of triadic attention sharing</w:t>
      </w:r>
      <w:r w:rsidR="00EF49DA">
        <w:rPr>
          <w:rFonts w:ascii="Garamond" w:eastAsia="Times New Roman" w:hAnsi="Garamond"/>
          <w:color w:val="000000"/>
          <w:lang w:eastAsia="en-GB"/>
        </w:rPr>
        <w:t xml:space="preserve"> with</w:t>
      </w:r>
      <w:r w:rsidRPr="00E372E1">
        <w:rPr>
          <w:rFonts w:ascii="Garamond" w:eastAsia="Times New Roman" w:hAnsi="Garamond"/>
          <w:color w:val="000000"/>
          <w:lang w:eastAsia="en-GB"/>
        </w:rPr>
        <w:t xml:space="preserve"> God, where the words of the Bible act as mutual object perceive</w:t>
      </w:r>
      <w:r w:rsidR="00EF49DA">
        <w:rPr>
          <w:rFonts w:ascii="Garamond" w:eastAsia="Times New Roman" w:hAnsi="Garamond"/>
          <w:color w:val="000000"/>
          <w:lang w:eastAsia="en-GB"/>
        </w:rPr>
        <w:t>d</w:t>
      </w:r>
      <w:r w:rsidRPr="00E372E1">
        <w:rPr>
          <w:rFonts w:ascii="Garamond" w:eastAsia="Times New Roman" w:hAnsi="Garamond"/>
          <w:color w:val="000000"/>
          <w:lang w:eastAsia="en-GB"/>
        </w:rPr>
        <w:t xml:space="preserve"> between a believer and God, so long as they both aware of one another’s awareness. They write that, ‘</w:t>
      </w:r>
      <w:r w:rsidRPr="00E372E1">
        <w:rPr>
          <w:rFonts w:ascii="Garamond" w:eastAsia="Times New Roman" w:hAnsi="Garamond" w:cs="Times New Roman"/>
          <w:color w:val="000000"/>
        </w:rPr>
        <w:t xml:space="preserve">God might, through the Scriptures, direct one’s attention to one’s pride. … God might elect for the contents of Scripture to shape a dyadic experience of the divine. Shared attention requires that the agent one is sharing attention with be experienced as present, even if implicitly’ (2012, 426). In extending this account of attention sharing, Cockayne et al. (2017) have applied this account to experiencing God through the liturgy and practice of the Eucharist. They argue that just as a passage or text might be the means of mutual object focusing between an individual and God, the words of the liturgical script and the elements might serve as means of mutual object focusing, in which individuals are aware of God’s presence and mutually attend to his salvific </w:t>
      </w:r>
      <w:r w:rsidRPr="00E372E1">
        <w:rPr>
          <w:rFonts w:ascii="Garamond" w:eastAsia="Times New Roman" w:hAnsi="Garamond" w:cs="Times New Roman"/>
          <w:color w:val="000000" w:themeColor="text1"/>
        </w:rPr>
        <w:t>actions (2017, 187). They suggest that in such an experience, ‘</w:t>
      </w:r>
      <w:r>
        <w:rPr>
          <w:rFonts w:ascii="Garamond" w:eastAsia="Times New Roman" w:hAnsi="Garamond" w:cs="Times New Roman"/>
        </w:rPr>
        <w:t xml:space="preserve">what is communicated isn’t a set </w:t>
      </w:r>
      <w:r w:rsidRPr="00E372E1">
        <w:rPr>
          <w:rFonts w:ascii="Garamond" w:eastAsia="Times New Roman" w:hAnsi="Garamond" w:cs="Times New Roman"/>
        </w:rPr>
        <w:t>of</w:t>
      </w:r>
      <w:r w:rsidRPr="00E372E1">
        <w:rPr>
          <w:rFonts w:ascii="Garamond" w:eastAsia="Times New Roman" w:hAnsi="Garamond" w:cs="Times New Roman"/>
          <w:color w:val="000000" w:themeColor="text1"/>
        </w:rPr>
        <w:t xml:space="preserve"> </w:t>
      </w:r>
      <w:r>
        <w:rPr>
          <w:rFonts w:ascii="Garamond" w:eastAsia="Times New Roman" w:hAnsi="Garamond" w:cs="Times New Roman"/>
        </w:rPr>
        <w:t xml:space="preserve">propositions, but the sacrament will have a different meaning depending on </w:t>
      </w:r>
      <w:r w:rsidRPr="00E372E1">
        <w:rPr>
          <w:rFonts w:ascii="Garamond" w:eastAsia="Times New Roman" w:hAnsi="Garamond" w:cs="Times New Roman"/>
        </w:rPr>
        <w:t>the</w:t>
      </w:r>
      <w:r>
        <w:rPr>
          <w:rFonts w:ascii="Garamond" w:eastAsia="Times New Roman" w:hAnsi="Garamond" w:cs="Times New Roman"/>
          <w:color w:val="000000" w:themeColor="text1"/>
        </w:rPr>
        <w:t xml:space="preserve"> </w:t>
      </w:r>
      <w:r w:rsidRPr="00E372E1">
        <w:rPr>
          <w:rFonts w:ascii="Garamond" w:eastAsia="Times New Roman" w:hAnsi="Garamond" w:cs="Times New Roman"/>
        </w:rPr>
        <w:t>participant’s relation to Christ</w:t>
      </w:r>
      <w:r>
        <w:rPr>
          <w:rFonts w:ascii="Garamond" w:eastAsia="Times New Roman" w:hAnsi="Garamond" w:cs="Times New Roman"/>
        </w:rPr>
        <w:t>’</w:t>
      </w:r>
      <w:r w:rsidRPr="00E372E1">
        <w:rPr>
          <w:rFonts w:ascii="Garamond" w:eastAsia="Times New Roman" w:hAnsi="Garamond" w:cs="Times New Roman"/>
        </w:rPr>
        <w:t xml:space="preserve"> (2017, 187). </w:t>
      </w:r>
    </w:p>
    <w:p w14:paraId="25F04C7E" w14:textId="440056C9" w:rsidR="00FA30DB" w:rsidRPr="001869B5" w:rsidRDefault="00FA30DB" w:rsidP="00FA30DB">
      <w:pPr>
        <w:rPr>
          <w:rFonts w:ascii="Garamond" w:hAnsi="Garamond"/>
          <w:b/>
        </w:rPr>
      </w:pPr>
    </w:p>
    <w:p w14:paraId="0E3E15DA" w14:textId="6880FEFD" w:rsidR="00FA30DB" w:rsidRDefault="00FA30DB" w:rsidP="00FA30DB">
      <w:pPr>
        <w:outlineLvl w:val="0"/>
        <w:rPr>
          <w:rFonts w:ascii="Garamond" w:hAnsi="Garamond"/>
          <w:b/>
        </w:rPr>
      </w:pPr>
      <w:r>
        <w:rPr>
          <w:rFonts w:ascii="Garamond" w:hAnsi="Garamond"/>
          <w:b/>
        </w:rPr>
        <w:t xml:space="preserve">Sharing worlds with </w:t>
      </w:r>
      <w:r w:rsidRPr="001869B5">
        <w:rPr>
          <w:rFonts w:ascii="Garamond" w:hAnsi="Garamond"/>
          <w:b/>
        </w:rPr>
        <w:t>God</w:t>
      </w:r>
    </w:p>
    <w:p w14:paraId="504AB5A9" w14:textId="1184190A" w:rsidR="00FA30DB" w:rsidRPr="00FA30DB" w:rsidRDefault="00FA30DB" w:rsidP="00FA30DB">
      <w:pPr>
        <w:rPr>
          <w:rFonts w:ascii="Garamond" w:hAnsi="Garamond"/>
        </w:rPr>
      </w:pPr>
      <w:r>
        <w:rPr>
          <w:rFonts w:ascii="Garamond" w:hAnsi="Garamond"/>
        </w:rPr>
        <w:t xml:space="preserve">Whilst experiencing a person second-personally might be necessary for knowing someone, knowing someone </w:t>
      </w:r>
      <w:r w:rsidRPr="007558F8">
        <w:rPr>
          <w:rFonts w:ascii="Garamond" w:hAnsi="Garamond"/>
          <w:i/>
        </w:rPr>
        <w:t>well</w:t>
      </w:r>
      <w:r>
        <w:rPr>
          <w:rFonts w:ascii="Garamond" w:hAnsi="Garamond"/>
        </w:rPr>
        <w:t xml:space="preserve"> requires </w:t>
      </w:r>
      <w:r w:rsidR="00957C3F">
        <w:rPr>
          <w:rFonts w:ascii="Garamond" w:hAnsi="Garamond"/>
        </w:rPr>
        <w:t xml:space="preserve">a deeper and broader kind of experience of that person. </w:t>
      </w:r>
      <w:r w:rsidR="00957C3F" w:rsidRPr="001869B5">
        <w:rPr>
          <w:rFonts w:ascii="Garamond" w:hAnsi="Garamond"/>
        </w:rPr>
        <w:t xml:space="preserve">For instance, </w:t>
      </w:r>
      <w:r w:rsidR="00957C3F">
        <w:rPr>
          <w:rFonts w:ascii="Garamond" w:hAnsi="Garamond"/>
        </w:rPr>
        <w:t>as Talbert</w:t>
      </w:r>
      <w:r w:rsidR="00957C3F" w:rsidRPr="001869B5">
        <w:rPr>
          <w:rFonts w:ascii="Garamond" w:hAnsi="Garamond"/>
        </w:rPr>
        <w:t xml:space="preserve"> notes, a brief and intense romance often gives the illusion of knowing someone well, but in meeting one another’s families, couples can come to the realisation that they don’t know each other nearly as well as they imagined and </w:t>
      </w:r>
      <w:r w:rsidR="007558F8">
        <w:rPr>
          <w:rFonts w:ascii="Garamond" w:hAnsi="Garamond"/>
        </w:rPr>
        <w:t>a broadening of</w:t>
      </w:r>
      <w:r w:rsidR="00957C3F" w:rsidRPr="001869B5">
        <w:rPr>
          <w:rFonts w:ascii="Garamond" w:hAnsi="Garamond"/>
        </w:rPr>
        <w:t xml:space="preserve"> the contexts in which they experience one another can broaden and deepen their knowledge</w:t>
      </w:r>
      <w:r w:rsidR="007558F8">
        <w:rPr>
          <w:rFonts w:ascii="Garamond" w:hAnsi="Garamond"/>
        </w:rPr>
        <w:t xml:space="preserve"> of one another</w:t>
      </w:r>
      <w:r w:rsidR="00957C3F">
        <w:rPr>
          <w:rFonts w:ascii="Garamond" w:hAnsi="Garamond"/>
        </w:rPr>
        <w:t xml:space="preserve"> (2014, 200)</w:t>
      </w:r>
      <w:r w:rsidR="00957C3F" w:rsidRPr="001869B5">
        <w:rPr>
          <w:rFonts w:ascii="Garamond" w:hAnsi="Garamond"/>
        </w:rPr>
        <w:t>.</w:t>
      </w:r>
      <w:r w:rsidR="00957C3F">
        <w:rPr>
          <w:rFonts w:ascii="Garamond" w:hAnsi="Garamond"/>
        </w:rPr>
        <w:t xml:space="preserve"> </w:t>
      </w:r>
      <w:r w:rsidRPr="001869B5">
        <w:rPr>
          <w:rFonts w:ascii="Garamond" w:hAnsi="Garamond"/>
        </w:rPr>
        <w:t xml:space="preserve">Talbert suggests that knowing someone </w:t>
      </w:r>
      <w:r w:rsidR="007558F8">
        <w:rPr>
          <w:rFonts w:ascii="Garamond" w:hAnsi="Garamond"/>
        </w:rPr>
        <w:t>well</w:t>
      </w:r>
      <w:r w:rsidRPr="001869B5">
        <w:rPr>
          <w:rFonts w:ascii="Garamond" w:hAnsi="Garamond"/>
        </w:rPr>
        <w:t xml:space="preserve"> is rooted in a kind of acquaintance knowledge, which is made possible by repeatedly experiencing someone in a variety of contexts and environments (2014, 198-202). </w:t>
      </w:r>
      <w:r>
        <w:rPr>
          <w:rFonts w:ascii="Garamond" w:hAnsi="Garamond"/>
        </w:rPr>
        <w:tab/>
      </w:r>
    </w:p>
    <w:p w14:paraId="2F8B789A" w14:textId="763381F8" w:rsidR="00C74E17" w:rsidRPr="00957C3F" w:rsidRDefault="00FA30DB" w:rsidP="00957C3F">
      <w:pPr>
        <w:rPr>
          <w:rFonts w:ascii="Garamond" w:eastAsia="Times New Roman" w:hAnsi="Garamond"/>
          <w:color w:val="000000"/>
          <w:lang w:eastAsia="en-GB"/>
        </w:rPr>
      </w:pPr>
      <w:r w:rsidRPr="001869B5">
        <w:rPr>
          <w:rFonts w:ascii="Garamond" w:eastAsia="Times New Roman" w:hAnsi="Garamond"/>
          <w:color w:val="000000"/>
          <w:lang w:eastAsia="en-GB"/>
        </w:rPr>
        <w:lastRenderedPageBreak/>
        <w:tab/>
        <w:t xml:space="preserve">In a recent paper, Cockayne and David </w:t>
      </w:r>
      <w:proofErr w:type="spellStart"/>
      <w:r w:rsidRPr="001869B5">
        <w:rPr>
          <w:rFonts w:ascii="Garamond" w:eastAsia="Times New Roman" w:hAnsi="Garamond"/>
          <w:color w:val="000000"/>
          <w:lang w:eastAsia="en-GB"/>
        </w:rPr>
        <w:t>Efird</w:t>
      </w:r>
      <w:proofErr w:type="spellEnd"/>
      <w:r w:rsidRPr="001869B5">
        <w:rPr>
          <w:rFonts w:ascii="Garamond" w:eastAsia="Times New Roman" w:hAnsi="Garamond"/>
          <w:color w:val="000000"/>
          <w:lang w:eastAsia="en-GB"/>
        </w:rPr>
        <w:t xml:space="preserve"> (forthcoming) have considered how corporate worship might play a role in helping us to know God better</w:t>
      </w:r>
      <w:r w:rsidR="00957C3F">
        <w:rPr>
          <w:rFonts w:ascii="Garamond" w:eastAsia="Times New Roman" w:hAnsi="Garamond"/>
          <w:color w:val="000000"/>
          <w:lang w:eastAsia="en-GB"/>
        </w:rPr>
        <w:t xml:space="preserve"> in the way Talbert describes</w:t>
      </w:r>
      <w:r w:rsidRPr="001869B5">
        <w:rPr>
          <w:rFonts w:ascii="Garamond" w:eastAsia="Times New Roman" w:hAnsi="Garamond"/>
          <w:color w:val="000000"/>
          <w:lang w:eastAsia="en-GB"/>
        </w:rPr>
        <w:t xml:space="preserve">. Here, the authors consider how Talbert’s criteria for knowing someone personally might be fulfilled by participation in corporate worship. Cockayne and </w:t>
      </w:r>
      <w:proofErr w:type="spellStart"/>
      <w:r w:rsidRPr="001869B5">
        <w:rPr>
          <w:rFonts w:ascii="Garamond" w:eastAsia="Times New Roman" w:hAnsi="Garamond"/>
          <w:color w:val="000000"/>
          <w:lang w:eastAsia="en-GB"/>
        </w:rPr>
        <w:t>Efird</w:t>
      </w:r>
      <w:proofErr w:type="spellEnd"/>
      <w:r w:rsidRPr="001869B5">
        <w:rPr>
          <w:rFonts w:ascii="Garamond" w:eastAsia="Times New Roman" w:hAnsi="Garamond"/>
          <w:color w:val="000000"/>
          <w:lang w:eastAsia="en-GB"/>
        </w:rPr>
        <w:t xml:space="preserve"> pay particular </w:t>
      </w:r>
      <w:r w:rsidR="006F7267">
        <w:rPr>
          <w:rFonts w:ascii="Garamond" w:eastAsia="Times New Roman" w:hAnsi="Garamond"/>
          <w:color w:val="000000"/>
          <w:lang w:eastAsia="en-GB"/>
        </w:rPr>
        <w:t>attention</w:t>
      </w:r>
      <w:r w:rsidRPr="001869B5">
        <w:rPr>
          <w:rFonts w:ascii="Garamond" w:eastAsia="Times New Roman" w:hAnsi="Garamond"/>
          <w:color w:val="000000"/>
          <w:lang w:eastAsia="en-GB"/>
        </w:rPr>
        <w:t xml:space="preserve"> to the question not just of how liturgy can occasion second-personal experiences of God, but how the context of these experiences can be shaped and broadened to provide a variety of shared-worlds between a person and God. Rather than thinking only of liturgy as a means of sharing attention with God, Cockayne and </w:t>
      </w:r>
      <w:proofErr w:type="spellStart"/>
      <w:r w:rsidRPr="001869B5">
        <w:rPr>
          <w:rFonts w:ascii="Garamond" w:eastAsia="Times New Roman" w:hAnsi="Garamond"/>
          <w:color w:val="000000"/>
          <w:lang w:eastAsia="en-GB"/>
        </w:rPr>
        <w:t>Efird</w:t>
      </w:r>
      <w:proofErr w:type="spellEnd"/>
      <w:r w:rsidRPr="001869B5">
        <w:rPr>
          <w:rFonts w:ascii="Garamond" w:eastAsia="Times New Roman" w:hAnsi="Garamond"/>
          <w:color w:val="000000"/>
          <w:lang w:eastAsia="en-GB"/>
        </w:rPr>
        <w:t xml:space="preserve"> suggest that liturgy also provides a means of sharing attention with other congregants, whilst mutually focusing on God as an object of attention. They suggest two ways in which such experience might improve one’s knowledge of God. First, they argue, corporate worship can alter our perception of God—just as experiencing our friends in different social scenarios changes our perception of what they are like, experiencing God alongside other people, with different histories, beliefs and </w:t>
      </w:r>
      <w:r w:rsidR="007558F8">
        <w:rPr>
          <w:rFonts w:ascii="Garamond" w:eastAsia="Times New Roman" w:hAnsi="Garamond"/>
          <w:color w:val="000000"/>
          <w:lang w:eastAsia="en-GB"/>
        </w:rPr>
        <w:t>issues</w:t>
      </w:r>
      <w:r w:rsidRPr="001869B5">
        <w:rPr>
          <w:rFonts w:ascii="Garamond" w:eastAsia="Times New Roman" w:hAnsi="Garamond"/>
          <w:color w:val="000000"/>
          <w:lang w:eastAsia="en-GB"/>
        </w:rPr>
        <w:t xml:space="preserve">, can provide us with a broader and deeper knowledge of what God is like, by allowing us to experience different aspects of God. Secondly, they suggest, worshipping alongside others plays a causal role in what we attend to—thus, in worshipping alongside another person, we are able to be drawn to aspects of God’s character and to come to a broader perception of what God is like than we would by worshipping alone. Thus, they suggest, corporate worship might also allow us to correct certain biases we might have about God’s character and nature. </w:t>
      </w:r>
      <w:r w:rsidR="00C74E17" w:rsidRPr="001869B5">
        <w:rPr>
          <w:rFonts w:ascii="Garamond" w:hAnsi="Garamond"/>
        </w:rPr>
        <w:tab/>
      </w:r>
    </w:p>
    <w:p w14:paraId="6CE4A402" w14:textId="77777777" w:rsidR="007558F8" w:rsidRDefault="007558F8" w:rsidP="00606267">
      <w:pPr>
        <w:outlineLvl w:val="0"/>
        <w:rPr>
          <w:rFonts w:ascii="Garamond" w:hAnsi="Garamond"/>
          <w:b/>
        </w:rPr>
      </w:pPr>
    </w:p>
    <w:p w14:paraId="149E735B" w14:textId="163E3E31" w:rsidR="00C74E17" w:rsidRPr="001869B5" w:rsidRDefault="00C74E17" w:rsidP="00606267">
      <w:pPr>
        <w:outlineLvl w:val="0"/>
        <w:rPr>
          <w:rFonts w:ascii="Garamond" w:hAnsi="Garamond"/>
          <w:b/>
        </w:rPr>
      </w:pPr>
      <w:r w:rsidRPr="001869B5">
        <w:rPr>
          <w:rFonts w:ascii="Garamond" w:hAnsi="Garamond"/>
          <w:b/>
        </w:rPr>
        <w:t xml:space="preserve">Knowing how to engage God </w:t>
      </w:r>
    </w:p>
    <w:p w14:paraId="1DBC2182" w14:textId="33BA7576" w:rsidR="00C74E17" w:rsidRPr="000A4ACE" w:rsidRDefault="00957C3F" w:rsidP="00C74E17">
      <w:pPr>
        <w:rPr>
          <w:rFonts w:ascii="Garamond" w:hAnsi="Garamond"/>
          <w:color w:val="000000"/>
          <w:lang w:eastAsia="en-GB"/>
        </w:rPr>
      </w:pPr>
      <w:r>
        <w:rPr>
          <w:rFonts w:ascii="Garamond" w:hAnsi="Garamond"/>
          <w:color w:val="000000"/>
          <w:lang w:eastAsia="en-GB"/>
        </w:rPr>
        <w:t xml:space="preserve">According to Talbert, another important aspect of knowing someone well is that we know-how to engage that person. Like phenomenal knowledge, many philosophers have held that knowing-how to do something (e.g. </w:t>
      </w:r>
      <w:r w:rsidR="007558F8">
        <w:rPr>
          <w:rFonts w:ascii="Garamond" w:hAnsi="Garamond"/>
          <w:color w:val="000000"/>
          <w:lang w:eastAsia="en-GB"/>
        </w:rPr>
        <w:t xml:space="preserve">knowing-how to </w:t>
      </w:r>
      <w:r>
        <w:rPr>
          <w:rFonts w:ascii="Garamond" w:hAnsi="Garamond"/>
          <w:color w:val="000000"/>
          <w:lang w:eastAsia="en-GB"/>
        </w:rPr>
        <w:t>ride a bike) is not reducible to propositional knowledge.</w:t>
      </w:r>
      <w:r>
        <w:rPr>
          <w:rStyle w:val="FootnoteReference"/>
          <w:rFonts w:ascii="Garamond" w:hAnsi="Garamond"/>
          <w:color w:val="000000"/>
          <w:lang w:eastAsia="en-GB"/>
        </w:rPr>
        <w:footnoteReference w:id="7"/>
      </w:r>
      <w:r w:rsidR="000A4ACE">
        <w:rPr>
          <w:rFonts w:ascii="Garamond" w:hAnsi="Garamond"/>
          <w:color w:val="000000"/>
          <w:lang w:eastAsia="en-GB"/>
        </w:rPr>
        <w:t xml:space="preserve"> Moreover, as Talbert suggests, knowing-how to engage someone appears to be an important part of knowing them well. I</w:t>
      </w:r>
      <w:r w:rsidR="00C74E17" w:rsidRPr="001869B5">
        <w:rPr>
          <w:rFonts w:ascii="Garamond" w:hAnsi="Garamond"/>
          <w:color w:val="000000"/>
          <w:lang w:eastAsia="en-GB"/>
        </w:rPr>
        <w:t xml:space="preserve">n agreement with Talbert, </w:t>
      </w:r>
      <w:r w:rsidR="00C74E17" w:rsidRPr="001869B5">
        <w:rPr>
          <w:rFonts w:ascii="Garamond" w:hAnsi="Garamond"/>
        </w:rPr>
        <w:t xml:space="preserve">Cuneo observes that, knowing someone personally involves knowing ‘how to engage that person’ </w:t>
      </w:r>
      <w:r w:rsidR="00C74E17" w:rsidRPr="001869B5">
        <w:rPr>
          <w:rFonts w:ascii="Garamond" w:eastAsia="Times New Roman" w:hAnsi="Garamond" w:cs="Times New Roman"/>
          <w:color w:val="000000"/>
        </w:rPr>
        <w:t>(2014, 369) and thus, ‘knowing God consists in (although is not exhausted by) knowing how to engage God’ (2014, 369). Cuneo suggests that liturgy allows a person to gain a kind of knowledge-how to engage God, stating that</w:t>
      </w:r>
    </w:p>
    <w:p w14:paraId="555E3B96" w14:textId="77777777" w:rsidR="00C74E17" w:rsidRPr="001869B5" w:rsidRDefault="00C74E17" w:rsidP="00C74E17">
      <w:pPr>
        <w:rPr>
          <w:rFonts w:ascii="Garamond" w:eastAsia="Times New Roman" w:hAnsi="Garamond" w:cs="Times New Roman"/>
        </w:rPr>
      </w:pPr>
    </w:p>
    <w:p w14:paraId="1B20CEA6" w14:textId="77777777" w:rsidR="00C74E17" w:rsidRPr="001869B5" w:rsidRDefault="00C74E17" w:rsidP="00C74E17">
      <w:pPr>
        <w:spacing w:after="160"/>
        <w:ind w:left="720"/>
        <w:rPr>
          <w:rFonts w:ascii="Garamond" w:eastAsia="Times New Roman" w:hAnsi="Garamond" w:cs="Times New Roman"/>
        </w:rPr>
      </w:pPr>
      <w:r w:rsidRPr="001869B5">
        <w:rPr>
          <w:rFonts w:ascii="Garamond" w:eastAsia="Times New Roman" w:hAnsi="Garamond" w:cs="Times New Roman"/>
          <w:color w:val="000000"/>
        </w:rPr>
        <w:t>liturgy makes available act-types of a certain range such as chanting, kissing, prostrating, and eating that count in the context of a liturgical performance as cases of blessing, petitioning, and thanking God…If this is correct, the liturgy provides the materials for not only engaging but also knowing how to engage God. Or more, precisely: the liturgy provides the materials by which a person can acquire such knowledge and a context in which she can exercise or enact it….to the extent that one grasps and sufficiently understands these ways of acting, one knows how to bless, petition, and thank God in their ritualized forms. One has ritual knowledge. (2014, 383)</w:t>
      </w:r>
      <w:r w:rsidRPr="001869B5">
        <w:rPr>
          <w:rStyle w:val="FootnoteReference"/>
          <w:rFonts w:ascii="Garamond" w:eastAsia="Times New Roman" w:hAnsi="Garamond" w:cs="Times New Roman"/>
          <w:color w:val="000000"/>
        </w:rPr>
        <w:footnoteReference w:id="8"/>
      </w:r>
    </w:p>
    <w:p w14:paraId="3A7E65A0" w14:textId="3E3C8E2F" w:rsidR="00317582" w:rsidRDefault="00C74E17" w:rsidP="00C74E17">
      <w:pPr>
        <w:rPr>
          <w:rFonts w:ascii="Garamond" w:eastAsia="Times New Roman" w:hAnsi="Garamond" w:cs="Times New Roman"/>
        </w:rPr>
      </w:pPr>
      <w:r w:rsidRPr="001869B5">
        <w:rPr>
          <w:rFonts w:ascii="Garamond" w:eastAsia="Times New Roman" w:hAnsi="Garamond" w:cs="Times New Roman"/>
        </w:rPr>
        <w:t xml:space="preserve">Thus, building on </w:t>
      </w:r>
      <w:r w:rsidR="00D835D0" w:rsidRPr="001869B5">
        <w:rPr>
          <w:rFonts w:ascii="Garamond" w:eastAsia="Times New Roman" w:hAnsi="Garamond" w:cs="Times New Roman"/>
        </w:rPr>
        <w:t>his</w:t>
      </w:r>
      <w:r w:rsidRPr="001869B5">
        <w:rPr>
          <w:rFonts w:ascii="Garamond" w:eastAsia="Times New Roman" w:hAnsi="Garamond" w:cs="Times New Roman"/>
        </w:rPr>
        <w:t xml:space="preserve"> account of liturgical action </w:t>
      </w:r>
      <w:r w:rsidR="00D835D0" w:rsidRPr="001869B5">
        <w:rPr>
          <w:rFonts w:ascii="Garamond" w:eastAsia="Times New Roman" w:hAnsi="Garamond" w:cs="Times New Roman"/>
        </w:rPr>
        <w:t xml:space="preserve">which I </w:t>
      </w:r>
      <w:r w:rsidRPr="001869B5">
        <w:rPr>
          <w:rFonts w:ascii="Garamond" w:eastAsia="Times New Roman" w:hAnsi="Garamond" w:cs="Times New Roman"/>
        </w:rPr>
        <w:t xml:space="preserve">outlined </w:t>
      </w:r>
      <w:r w:rsidR="00D835D0" w:rsidRPr="001869B5">
        <w:rPr>
          <w:rFonts w:ascii="Garamond" w:eastAsia="Times New Roman" w:hAnsi="Garamond" w:cs="Times New Roman"/>
        </w:rPr>
        <w:t>in the first article</w:t>
      </w:r>
      <w:r w:rsidRPr="001869B5">
        <w:rPr>
          <w:rFonts w:ascii="Garamond" w:eastAsia="Times New Roman" w:hAnsi="Garamond" w:cs="Times New Roman"/>
        </w:rPr>
        <w:t xml:space="preserve">, </w:t>
      </w:r>
      <w:r w:rsidR="00D835D0" w:rsidRPr="001869B5">
        <w:rPr>
          <w:rFonts w:ascii="Garamond" w:eastAsia="Times New Roman" w:hAnsi="Garamond" w:cs="Times New Roman"/>
        </w:rPr>
        <w:t xml:space="preserve">we can see that </w:t>
      </w:r>
      <w:r w:rsidRPr="001869B5">
        <w:rPr>
          <w:rFonts w:ascii="Garamond" w:eastAsia="Times New Roman" w:hAnsi="Garamond" w:cs="Times New Roman"/>
        </w:rPr>
        <w:t>if bodily liturgical actions should count as instances of blessing God, thanking God and petitioning God, then repeated engagement in liturgy provides a participant with a kind of personal know-how.</w:t>
      </w:r>
      <w:r w:rsidR="007558F8">
        <w:rPr>
          <w:rStyle w:val="FootnoteReference"/>
          <w:rFonts w:ascii="Garamond" w:hAnsi="Garamond"/>
        </w:rPr>
        <w:footnoteReference w:id="9"/>
      </w:r>
      <w:r w:rsidRPr="001869B5">
        <w:rPr>
          <w:rFonts w:ascii="Garamond" w:eastAsia="Times New Roman" w:hAnsi="Garamond" w:cs="Times New Roman"/>
        </w:rPr>
        <w:t xml:space="preserve"> </w:t>
      </w:r>
    </w:p>
    <w:p w14:paraId="01FC817B" w14:textId="01051189" w:rsidR="00D835D0" w:rsidRPr="001869B5" w:rsidRDefault="00D835D0" w:rsidP="00C74E17">
      <w:pPr>
        <w:rPr>
          <w:rFonts w:ascii="Garamond" w:eastAsia="Times New Roman" w:hAnsi="Garamond" w:cs="Times New Roman"/>
        </w:rPr>
      </w:pPr>
      <w:r w:rsidRPr="001869B5">
        <w:rPr>
          <w:rFonts w:ascii="Garamond" w:eastAsia="Times New Roman" w:hAnsi="Garamond" w:cs="Times New Roman"/>
        </w:rPr>
        <w:lastRenderedPageBreak/>
        <w:t>Just as repeatedly engaging with another person allows us to know-how to engage them better (e.g. we might get better at knowing-how to make someone laugh, or feel at ease), repeatedly engaging with God allows us to know-how to engage God better.</w:t>
      </w:r>
      <w:r w:rsidR="009F4034" w:rsidRPr="001869B5">
        <w:rPr>
          <w:rStyle w:val="FootnoteReference"/>
          <w:rFonts w:ascii="Garamond" w:eastAsia="Times New Roman" w:hAnsi="Garamond" w:cs="Times New Roman"/>
        </w:rPr>
        <w:footnoteReference w:id="10"/>
      </w:r>
      <w:r w:rsidRPr="001869B5">
        <w:rPr>
          <w:rFonts w:ascii="Garamond" w:eastAsia="Times New Roman" w:hAnsi="Garamond" w:cs="Times New Roman"/>
        </w:rPr>
        <w:t xml:space="preserve"> </w:t>
      </w:r>
    </w:p>
    <w:p w14:paraId="43B7211A" w14:textId="7385F110" w:rsidR="00C74E17" w:rsidRPr="001869B5" w:rsidRDefault="00C74E17" w:rsidP="00C74E17">
      <w:pPr>
        <w:rPr>
          <w:rFonts w:ascii="Garamond" w:eastAsia="Times New Roman" w:hAnsi="Garamond" w:cs="Times New Roman"/>
        </w:rPr>
      </w:pPr>
      <w:r w:rsidRPr="001869B5">
        <w:rPr>
          <w:rFonts w:ascii="Garamond" w:eastAsia="Times New Roman" w:hAnsi="Garamond" w:cs="Times New Roman"/>
        </w:rPr>
        <w:tab/>
        <w:t xml:space="preserve">This emphasis on practical knowledge in liturgy is something which Smith </w:t>
      </w:r>
      <w:r w:rsidR="007558F8">
        <w:rPr>
          <w:rFonts w:ascii="Garamond" w:eastAsia="Times New Roman" w:hAnsi="Garamond" w:cs="Times New Roman"/>
        </w:rPr>
        <w:t xml:space="preserve">also </w:t>
      </w:r>
      <w:r w:rsidRPr="001869B5">
        <w:rPr>
          <w:rFonts w:ascii="Garamond" w:eastAsia="Times New Roman" w:hAnsi="Garamond" w:cs="Times New Roman"/>
        </w:rPr>
        <w:t>stresses, albei</w:t>
      </w:r>
      <w:r w:rsidR="00BF54FF" w:rsidRPr="001869B5">
        <w:rPr>
          <w:rFonts w:ascii="Garamond" w:eastAsia="Times New Roman" w:hAnsi="Garamond" w:cs="Times New Roman"/>
        </w:rPr>
        <w:t xml:space="preserve">t through very different means. </w:t>
      </w:r>
      <w:r w:rsidRPr="001869B5">
        <w:rPr>
          <w:rFonts w:ascii="Garamond" w:eastAsia="Times New Roman" w:hAnsi="Garamond" w:cs="Times New Roman"/>
        </w:rPr>
        <w:t xml:space="preserve">As </w:t>
      </w:r>
      <w:r w:rsidR="00BF54FF" w:rsidRPr="001869B5">
        <w:rPr>
          <w:rFonts w:ascii="Garamond" w:eastAsia="Times New Roman" w:hAnsi="Garamond" w:cs="Times New Roman"/>
        </w:rPr>
        <w:t>I outlined in the first article</w:t>
      </w:r>
      <w:r w:rsidRPr="001869B5">
        <w:rPr>
          <w:rFonts w:ascii="Garamond" w:eastAsia="Times New Roman" w:hAnsi="Garamond" w:cs="Times New Roman"/>
        </w:rPr>
        <w:t>, Smith’s account of liturgical action fo</w:t>
      </w:r>
      <w:r w:rsidR="007558F8">
        <w:rPr>
          <w:rFonts w:ascii="Garamond" w:eastAsia="Times New Roman" w:hAnsi="Garamond" w:cs="Times New Roman"/>
        </w:rPr>
        <w:t>cuses on the role of liturgy as engaging with our</w:t>
      </w:r>
      <w:r w:rsidRPr="001869B5">
        <w:rPr>
          <w:rFonts w:ascii="Garamond" w:eastAsia="Times New Roman" w:hAnsi="Garamond" w:cs="Times New Roman"/>
        </w:rPr>
        <w:t xml:space="preserve"> desire through embodied rituals. In the context of Christian worship, Smith suggests that this kind of action ‘</w:t>
      </w:r>
      <w:r w:rsidRPr="001869B5">
        <w:rPr>
          <w:rFonts w:ascii="Garamond" w:hAnsi="Garamond"/>
        </w:rPr>
        <w:t>is fundamentally formative because it educates our hearts through our bodies (which in turn renews our mind) and does so in a way that</w:t>
      </w:r>
      <w:r w:rsidR="007558F8">
        <w:rPr>
          <w:rFonts w:ascii="Garamond" w:hAnsi="Garamond"/>
        </w:rPr>
        <w:t xml:space="preserve"> is more universally accessible…</w:t>
      </w:r>
      <w:r w:rsidRPr="001869B5">
        <w:rPr>
          <w:rFonts w:ascii="Garamond" w:hAnsi="Garamond"/>
        </w:rPr>
        <w:t xml:space="preserve">than many of the overly cognitive worship habits we have acquired in modernity’ (2009, 13). He writes, </w:t>
      </w:r>
    </w:p>
    <w:p w14:paraId="637DC2E0" w14:textId="77777777" w:rsidR="00C74E17" w:rsidRPr="001869B5" w:rsidRDefault="00C74E17" w:rsidP="00C74E17">
      <w:pPr>
        <w:rPr>
          <w:rFonts w:ascii="Garamond" w:hAnsi="Garamond"/>
        </w:rPr>
      </w:pPr>
    </w:p>
    <w:p w14:paraId="6AAA02CF" w14:textId="5DA14413" w:rsidR="00C74E17" w:rsidRPr="001869B5" w:rsidRDefault="00C74E17" w:rsidP="00C74E17">
      <w:pPr>
        <w:ind w:left="720"/>
        <w:rPr>
          <w:rFonts w:ascii="Garamond" w:hAnsi="Garamond"/>
        </w:rPr>
      </w:pPr>
      <w:r w:rsidRPr="001869B5">
        <w:rPr>
          <w:rFonts w:ascii="Garamond" w:hAnsi="Garamond"/>
        </w:rPr>
        <w:t xml:space="preserve">Discipleship and formation are less about erecting an edifice of Christian knowledge than they are a matter of developing a </w:t>
      </w:r>
      <w:r w:rsidR="00BF54FF" w:rsidRPr="001869B5">
        <w:rPr>
          <w:rFonts w:ascii="Garamond" w:hAnsi="Garamond"/>
        </w:rPr>
        <w:t>Christian k</w:t>
      </w:r>
      <w:r w:rsidRPr="001869B5">
        <w:rPr>
          <w:rFonts w:ascii="Garamond" w:hAnsi="Garamond"/>
        </w:rPr>
        <w:t>now-how that intuitively “understands” the world in light of the fullness of the gospel…The practices of Christian worship are the analogue of biking around the neighbourhood, absorbing an understanding of our environment that is precognitive and becomes inscribed in our adaptive unconscious. (2009, 68)</w:t>
      </w:r>
    </w:p>
    <w:p w14:paraId="173AAD92" w14:textId="77777777" w:rsidR="00C74E17" w:rsidRPr="001869B5" w:rsidRDefault="00C74E17" w:rsidP="00C74E17">
      <w:pPr>
        <w:rPr>
          <w:rFonts w:ascii="Garamond" w:hAnsi="Garamond"/>
        </w:rPr>
      </w:pPr>
    </w:p>
    <w:p w14:paraId="784C0A97" w14:textId="6F8E6BC9" w:rsidR="00B307E8" w:rsidRPr="000A4ACE" w:rsidRDefault="00F25508" w:rsidP="00B307E8">
      <w:pPr>
        <w:rPr>
          <w:rFonts w:ascii="Garamond" w:hAnsi="Garamond"/>
        </w:rPr>
      </w:pPr>
      <w:r>
        <w:rPr>
          <w:rFonts w:ascii="Garamond" w:hAnsi="Garamond"/>
        </w:rPr>
        <w:t>Whilst</w:t>
      </w:r>
      <w:r w:rsidR="002B24BB" w:rsidRPr="001869B5">
        <w:rPr>
          <w:rFonts w:ascii="Garamond" w:hAnsi="Garamond"/>
        </w:rPr>
        <w:t xml:space="preserve"> liturgy provides us with a kind of know-how, unlike Cuneo’s account, this is not explained primarily in terms knowing-how to engage God. Rather, on this account, liturgy teaches how to perceive an unders</w:t>
      </w:r>
      <w:r w:rsidR="000A4ACE">
        <w:rPr>
          <w:rFonts w:ascii="Garamond" w:hAnsi="Garamond"/>
        </w:rPr>
        <w:t>tand the world in a certain way</w:t>
      </w:r>
      <w:r w:rsidR="002B24BB" w:rsidRPr="001869B5">
        <w:rPr>
          <w:rFonts w:ascii="Garamond" w:hAnsi="Garamond"/>
        </w:rPr>
        <w:t xml:space="preserve">. </w:t>
      </w:r>
      <w:r w:rsidR="00B307E8" w:rsidRPr="001869B5">
        <w:rPr>
          <w:rFonts w:ascii="Garamond" w:eastAsia="Times New Roman" w:hAnsi="Garamond"/>
          <w:color w:val="000000"/>
          <w:lang w:eastAsia="en-GB"/>
        </w:rPr>
        <w:t>For Smith, engagement with narrative provides us with a kind of ‘</w:t>
      </w:r>
      <w:r w:rsidR="00B307E8" w:rsidRPr="001869B5">
        <w:rPr>
          <w:rFonts w:ascii="Garamond" w:eastAsia="Times New Roman" w:hAnsi="Garamond"/>
          <w:i/>
          <w:color w:val="000000"/>
          <w:lang w:eastAsia="en-GB"/>
        </w:rPr>
        <w:t xml:space="preserve">aesthetic </w:t>
      </w:r>
      <w:r w:rsidR="00B307E8" w:rsidRPr="001869B5">
        <w:rPr>
          <w:rFonts w:ascii="Garamond" w:eastAsia="Times New Roman" w:hAnsi="Garamond"/>
          <w:color w:val="000000"/>
          <w:lang w:eastAsia="en-GB"/>
        </w:rPr>
        <w:t>know-how’ (2009, 126), which, as he describes it is ‘</w:t>
      </w:r>
      <w:r w:rsidR="00B307E8" w:rsidRPr="001869B5">
        <w:rPr>
          <w:rFonts w:ascii="Garamond" w:hAnsi="Garamond"/>
          <w:color w:val="000000" w:themeColor="text1"/>
        </w:rPr>
        <w:t>more like “knowing” that someone is flirting with you than knowing someone’s shoe size’ (2009, 126). Narrative shapes our perception of the world in ‘unconscious automated ways’ (2009, 126).</w:t>
      </w:r>
      <w:r w:rsidR="00317582">
        <w:rPr>
          <w:rStyle w:val="FootnoteReference"/>
          <w:rFonts w:ascii="Garamond" w:hAnsi="Garamond"/>
          <w:color w:val="000000" w:themeColor="text1"/>
        </w:rPr>
        <w:footnoteReference w:id="11"/>
      </w:r>
      <w:r w:rsidR="00B307E8" w:rsidRPr="001869B5">
        <w:rPr>
          <w:rFonts w:ascii="Garamond" w:hAnsi="Garamond"/>
          <w:color w:val="000000" w:themeColor="text1"/>
        </w:rPr>
        <w:t xml:space="preserve"> Yet, this account of know-how also allows us to encounter God in a certain sense. Smith explains</w:t>
      </w:r>
      <w:r w:rsidR="00B307E8">
        <w:rPr>
          <w:rFonts w:ascii="Garamond" w:hAnsi="Garamond"/>
          <w:color w:val="000000" w:themeColor="text1"/>
        </w:rPr>
        <w:t xml:space="preserve"> that</w:t>
      </w:r>
    </w:p>
    <w:p w14:paraId="183F48C1" w14:textId="77777777" w:rsidR="00B307E8" w:rsidRPr="001869B5" w:rsidRDefault="00B307E8" w:rsidP="00B307E8">
      <w:pPr>
        <w:rPr>
          <w:rFonts w:ascii="Garamond" w:eastAsia="Times New Roman" w:hAnsi="Garamond"/>
          <w:color w:val="000000"/>
          <w:lang w:eastAsia="en-GB"/>
        </w:rPr>
      </w:pPr>
    </w:p>
    <w:p w14:paraId="4ED6DE5E" w14:textId="77777777" w:rsidR="00B307E8" w:rsidRPr="001869B5" w:rsidRDefault="00B307E8" w:rsidP="00B307E8">
      <w:pPr>
        <w:pStyle w:val="NoSpacing"/>
        <w:ind w:left="720"/>
        <w:rPr>
          <w:rFonts w:ascii="Garamond" w:hAnsi="Garamond"/>
          <w:color w:val="000000" w:themeColor="text1"/>
        </w:rPr>
      </w:pPr>
      <w:r w:rsidRPr="001869B5">
        <w:rPr>
          <w:rFonts w:ascii="Garamond" w:hAnsi="Garamond"/>
          <w:color w:val="000000" w:themeColor="text1"/>
        </w:rPr>
        <w:t xml:space="preserve">the conceptual metaphors that are “carried” in liturgical practices will, over time, sediment into our background in ways that are more aesthetic than logical, more poetic than didactic. Carried in such practices will be conceptual metaphors that prime us to immediately see God, the world, and others in certain ways. (2009, 123) </w:t>
      </w:r>
    </w:p>
    <w:p w14:paraId="241D9637" w14:textId="77777777" w:rsidR="00B307E8" w:rsidRPr="001869B5" w:rsidRDefault="00B307E8" w:rsidP="00B307E8">
      <w:pPr>
        <w:pStyle w:val="NoSpacing"/>
        <w:rPr>
          <w:rFonts w:ascii="Garamond" w:hAnsi="Garamond"/>
          <w:color w:val="000000" w:themeColor="text1"/>
        </w:rPr>
      </w:pPr>
    </w:p>
    <w:p w14:paraId="04D812BB" w14:textId="0B674910" w:rsidR="007558F8" w:rsidRDefault="00B307E8" w:rsidP="00C74E17">
      <w:pPr>
        <w:rPr>
          <w:rFonts w:ascii="Garamond" w:hAnsi="Garamond"/>
        </w:rPr>
      </w:pPr>
      <w:r w:rsidRPr="001869B5">
        <w:rPr>
          <w:rFonts w:ascii="Garamond" w:hAnsi="Garamond"/>
        </w:rPr>
        <w:lastRenderedPageBreak/>
        <w:t>This account is very close to Coakley’s position on liturgical epistemology. Like both Cuneo and Wolterstorff, Coakley suggests that liturgy primarily gives us a kind of knowledge-by-acquaintance or knowledge-by-relationship (2013, 134). However, she suggests that our personal knowledge of God made possible by engagement with liturgy is not like the immediate knowledge which is acquired through perception. But</w:t>
      </w:r>
      <w:r>
        <w:rPr>
          <w:rFonts w:ascii="Garamond" w:hAnsi="Garamond"/>
        </w:rPr>
        <w:t>,</w:t>
      </w:r>
      <w:r w:rsidRPr="001869B5">
        <w:rPr>
          <w:rFonts w:ascii="Garamond" w:hAnsi="Garamond"/>
        </w:rPr>
        <w:t xml:space="preserve"> rather, our acquaintance knowledge of God is acquired slowly through the repetition of certain practices so that we can come to know how to rightly relate to God an</w:t>
      </w:r>
      <w:r w:rsidR="007558F8">
        <w:rPr>
          <w:rFonts w:ascii="Garamond" w:hAnsi="Garamond"/>
        </w:rPr>
        <w:t>d to see God.</w:t>
      </w:r>
      <w:r w:rsidR="00317582">
        <w:rPr>
          <w:rStyle w:val="FootnoteReference"/>
          <w:rFonts w:ascii="Garamond" w:hAnsi="Garamond"/>
        </w:rPr>
        <w:footnoteReference w:id="12"/>
      </w:r>
      <w:r w:rsidR="007558F8">
        <w:rPr>
          <w:rFonts w:ascii="Garamond" w:hAnsi="Garamond"/>
        </w:rPr>
        <w:t xml:space="preserve"> She writes that, </w:t>
      </w:r>
    </w:p>
    <w:p w14:paraId="42656650" w14:textId="77777777" w:rsidR="007558F8" w:rsidRDefault="007558F8" w:rsidP="00C74E17">
      <w:pPr>
        <w:rPr>
          <w:rFonts w:ascii="Garamond" w:hAnsi="Garamond"/>
        </w:rPr>
      </w:pPr>
    </w:p>
    <w:p w14:paraId="4EE20420" w14:textId="77777777" w:rsidR="007558F8" w:rsidRDefault="00B307E8" w:rsidP="007558F8">
      <w:pPr>
        <w:ind w:left="720"/>
        <w:rPr>
          <w:rFonts w:ascii="Garamond" w:hAnsi="Garamond"/>
        </w:rPr>
      </w:pPr>
      <w:r w:rsidRPr="001869B5">
        <w:rPr>
          <w:rFonts w:ascii="Garamond" w:hAnsi="Garamond"/>
        </w:rPr>
        <w:t xml:space="preserve">the specific, bodily ways in which Christians seek to “perceive” God through liturgy involve a range of ramified practices (including hymnody; or “walking in </w:t>
      </w:r>
      <w:proofErr w:type="gramStart"/>
      <w:r w:rsidRPr="001869B5">
        <w:rPr>
          <w:rFonts w:ascii="Garamond" w:hAnsi="Garamond"/>
        </w:rPr>
        <w:t>patterns”…</w:t>
      </w:r>
      <w:proofErr w:type="gramEnd"/>
      <w:r w:rsidRPr="001869B5">
        <w:rPr>
          <w:rFonts w:ascii="Garamond" w:hAnsi="Garamond"/>
        </w:rPr>
        <w:t xml:space="preserve">) that are not merely straightforward analogies of “perception” in “immediate” response to God, but complex means of </w:t>
      </w:r>
      <w:r w:rsidRPr="001869B5">
        <w:rPr>
          <w:rFonts w:ascii="Garamond" w:hAnsi="Garamond"/>
          <w:i/>
        </w:rPr>
        <w:t xml:space="preserve">training </w:t>
      </w:r>
      <w:r w:rsidRPr="001869B5">
        <w:rPr>
          <w:rFonts w:ascii="Garamond" w:hAnsi="Garamond"/>
        </w:rPr>
        <w:t xml:space="preserve">the mind and senses, over time, in order to come </w:t>
      </w:r>
      <w:r w:rsidR="007558F8">
        <w:rPr>
          <w:rFonts w:ascii="Garamond" w:hAnsi="Garamond"/>
        </w:rPr>
        <w:t xml:space="preserve">into a right relation with God </w:t>
      </w:r>
      <w:r w:rsidRPr="001869B5">
        <w:rPr>
          <w:rFonts w:ascii="Garamond" w:hAnsi="Garamond"/>
        </w:rPr>
        <w:t xml:space="preserve">(2013, 137-38). </w:t>
      </w:r>
    </w:p>
    <w:p w14:paraId="591548E4" w14:textId="77777777" w:rsidR="007558F8" w:rsidRDefault="007558F8" w:rsidP="007558F8">
      <w:pPr>
        <w:ind w:left="720"/>
        <w:rPr>
          <w:rFonts w:ascii="Garamond" w:hAnsi="Garamond"/>
        </w:rPr>
      </w:pPr>
    </w:p>
    <w:p w14:paraId="7D567178" w14:textId="1C7A28BD" w:rsidR="00B307E8" w:rsidRPr="00F25508" w:rsidRDefault="00B307E8" w:rsidP="007558F8">
      <w:pPr>
        <w:rPr>
          <w:rFonts w:ascii="Garamond" w:hAnsi="Garamond"/>
        </w:rPr>
      </w:pPr>
      <w:r w:rsidRPr="001869B5">
        <w:rPr>
          <w:rFonts w:ascii="Garamond" w:hAnsi="Garamond"/>
        </w:rPr>
        <w:t xml:space="preserve">Smith uses the language of </w:t>
      </w:r>
      <w:r w:rsidRPr="001869B5">
        <w:rPr>
          <w:rFonts w:ascii="Garamond" w:hAnsi="Garamond"/>
          <w:i/>
        </w:rPr>
        <w:t>tuning</w:t>
      </w:r>
      <w:r w:rsidRPr="001869B5">
        <w:rPr>
          <w:rFonts w:ascii="Garamond" w:hAnsi="Garamond"/>
        </w:rPr>
        <w:t xml:space="preserve"> to explain how such transformation takes place (2009, 137). Because the liturgies of culture often tune us to see the world in a way which </w:t>
      </w:r>
      <w:r w:rsidRPr="001869B5">
        <w:rPr>
          <w:rFonts w:ascii="Garamond" w:hAnsi="Garamond"/>
          <w:color w:val="000000" w:themeColor="text1"/>
        </w:rPr>
        <w:t>‘run[s] counter to what God envisions for the flourishing of creation’ (2009, 141), we need to be re-tuned by the liturgy, which, he suggests, acts as a kind of ‘counter-liturgy’ (2009</w:t>
      </w:r>
      <w:r w:rsidR="007558F8">
        <w:rPr>
          <w:rFonts w:ascii="Garamond" w:hAnsi="Garamond"/>
          <w:color w:val="000000" w:themeColor="text1"/>
        </w:rPr>
        <w:t>, 149) to the liturgies of sin;</w:t>
      </w:r>
      <w:r w:rsidRPr="001869B5">
        <w:rPr>
          <w:rFonts w:ascii="Garamond" w:hAnsi="Garamond"/>
          <w:color w:val="000000" w:themeColor="text1"/>
        </w:rPr>
        <w:t xml:space="preserve"> </w:t>
      </w:r>
      <w:r w:rsidR="007558F8">
        <w:rPr>
          <w:rFonts w:ascii="Garamond" w:hAnsi="Garamond"/>
          <w:color w:val="000000" w:themeColor="text1"/>
        </w:rPr>
        <w:t>‘</w:t>
      </w:r>
      <w:r w:rsidRPr="001869B5">
        <w:rPr>
          <w:rFonts w:ascii="Garamond" w:hAnsi="Garamond"/>
          <w:color w:val="000000" w:themeColor="text1"/>
        </w:rPr>
        <w:t>Christian worship is an intentionally decentring practice, calling us out of ourselves into the very life of God</w:t>
      </w:r>
      <w:r>
        <w:rPr>
          <w:rFonts w:ascii="Garamond" w:hAnsi="Garamond"/>
          <w:color w:val="000000" w:themeColor="text1"/>
        </w:rPr>
        <w:t>’</w:t>
      </w:r>
      <w:r w:rsidRPr="001869B5">
        <w:rPr>
          <w:rFonts w:ascii="Garamond" w:hAnsi="Garamond"/>
          <w:color w:val="000000" w:themeColor="text1"/>
        </w:rPr>
        <w:t xml:space="preserve"> (2009, 149). Both Coakley’s and Smith’s accounts, combine aspects of practical knowledge and phenomenal knowledge—by acquiring knowledge-how to relate properly to God, we are able to see the world and God in a new way, and thereby, come to know what God is like.</w:t>
      </w:r>
    </w:p>
    <w:p w14:paraId="4D51AB1C" w14:textId="64C5AAA1" w:rsidR="00F70140" w:rsidRPr="00F70140" w:rsidRDefault="00F70140" w:rsidP="00C74E17">
      <w:pPr>
        <w:rPr>
          <w:rFonts w:ascii="Garamond" w:hAnsi="Garamond"/>
        </w:rPr>
      </w:pPr>
      <w:r>
        <w:rPr>
          <w:rFonts w:ascii="Garamond" w:hAnsi="Garamond"/>
          <w:i/>
        </w:rPr>
        <w:tab/>
      </w:r>
      <w:r>
        <w:rPr>
          <w:rFonts w:ascii="Garamond" w:hAnsi="Garamond"/>
        </w:rPr>
        <w:t>Finally, as I highlighted in part 1 of this article, whilst liturgy always involves some kind of script (regardless of how formal this is) it also always involves some level of improvisation. Indeed, whilst m</w:t>
      </w:r>
      <w:r>
        <w:rPr>
          <w:rFonts w:ascii="Garamond" w:hAnsi="Garamond"/>
        </w:rPr>
        <w:t>any of the examples used in the literature focus on formal Church liturgies</w:t>
      </w:r>
      <w:r>
        <w:rPr>
          <w:rFonts w:ascii="Garamond" w:hAnsi="Garamond"/>
        </w:rPr>
        <w:t>, in the case of</w:t>
      </w:r>
      <w:r w:rsidR="00903846">
        <w:rPr>
          <w:rFonts w:ascii="Garamond" w:hAnsi="Garamond"/>
        </w:rPr>
        <w:t xml:space="preserve"> more informal worship, in the Pentecostal</w:t>
      </w:r>
      <w:r>
        <w:rPr>
          <w:rFonts w:ascii="Garamond" w:hAnsi="Garamond"/>
        </w:rPr>
        <w:t xml:space="preserve"> tradition, for instance, the balance is </w:t>
      </w:r>
      <w:r w:rsidR="00903846">
        <w:rPr>
          <w:rFonts w:ascii="Garamond" w:hAnsi="Garamond"/>
        </w:rPr>
        <w:t>weighted</w:t>
      </w:r>
      <w:r>
        <w:rPr>
          <w:rFonts w:ascii="Garamond" w:hAnsi="Garamond"/>
        </w:rPr>
        <w:t xml:space="preserve"> </w:t>
      </w:r>
      <w:r w:rsidR="00903846">
        <w:rPr>
          <w:rFonts w:ascii="Garamond" w:hAnsi="Garamond"/>
        </w:rPr>
        <w:t>more heavily</w:t>
      </w:r>
      <w:r>
        <w:rPr>
          <w:rFonts w:ascii="Garamond" w:hAnsi="Garamond"/>
        </w:rPr>
        <w:t xml:space="preserve"> towards improvisation than scriptedness. Whilst this is an area which hasn’t been directly addressed in the literature, the importance of liturgical know-how seems particularly important in communities in which there is little or no written script. In such a context, one must learn how to improvise appropriately, without the aid of a script to guide one’s actions. </w:t>
      </w:r>
      <w:r>
        <w:rPr>
          <w:rFonts w:ascii="Garamond" w:hAnsi="Garamond"/>
        </w:rPr>
        <w:t xml:space="preserve">As Smith </w:t>
      </w:r>
      <w:r>
        <w:rPr>
          <w:rFonts w:ascii="Garamond" w:hAnsi="Garamond"/>
        </w:rPr>
        <w:t xml:space="preserve">describes, in any ritual community, there is an </w:t>
      </w:r>
      <w:r>
        <w:rPr>
          <w:rFonts w:ascii="Garamond" w:hAnsi="Garamond"/>
        </w:rPr>
        <w:t>ir</w:t>
      </w:r>
      <w:r>
        <w:rPr>
          <w:rFonts w:ascii="Garamond" w:hAnsi="Garamond"/>
        </w:rPr>
        <w:t>reducible ‘logic of practice’</w:t>
      </w:r>
      <w:r>
        <w:rPr>
          <w:rFonts w:ascii="Garamond" w:hAnsi="Garamond"/>
        </w:rPr>
        <w:t xml:space="preserve"> which resists propositional </w:t>
      </w:r>
      <w:r>
        <w:rPr>
          <w:rFonts w:ascii="Garamond" w:hAnsi="Garamond"/>
        </w:rPr>
        <w:t xml:space="preserve">reduction, and which can only be learnt by becoming embodied in that community (2013, 76-79). This seems worthy of further exploration in the context of more informal liturgy. </w:t>
      </w:r>
    </w:p>
    <w:p w14:paraId="0C371158" w14:textId="5C5D7427" w:rsidR="00F70140" w:rsidRDefault="00F70140" w:rsidP="00C74E17">
      <w:pPr>
        <w:rPr>
          <w:rFonts w:ascii="Garamond" w:hAnsi="Garamond"/>
          <w:i/>
        </w:rPr>
      </w:pPr>
    </w:p>
    <w:p w14:paraId="083DDD6E" w14:textId="77777777" w:rsidR="00903846" w:rsidRPr="001869B5" w:rsidRDefault="00903846" w:rsidP="00C74E17">
      <w:pPr>
        <w:rPr>
          <w:rFonts w:ascii="Garamond" w:hAnsi="Garamond"/>
          <w:i/>
        </w:rPr>
      </w:pPr>
    </w:p>
    <w:p w14:paraId="6C9D8943" w14:textId="77777777" w:rsidR="00903846" w:rsidRDefault="00903846" w:rsidP="00606267">
      <w:pPr>
        <w:outlineLvl w:val="0"/>
        <w:rPr>
          <w:rFonts w:ascii="Garamond" w:hAnsi="Garamond"/>
          <w:b/>
        </w:rPr>
      </w:pPr>
    </w:p>
    <w:p w14:paraId="7C070153" w14:textId="32226586" w:rsidR="00C74E17" w:rsidRPr="001869B5" w:rsidRDefault="00C74E17" w:rsidP="00606267">
      <w:pPr>
        <w:outlineLvl w:val="0"/>
        <w:rPr>
          <w:rFonts w:ascii="Garamond" w:hAnsi="Garamond"/>
          <w:b/>
        </w:rPr>
      </w:pPr>
      <w:r w:rsidRPr="001869B5">
        <w:rPr>
          <w:rFonts w:ascii="Garamond" w:hAnsi="Garamond"/>
          <w:b/>
        </w:rPr>
        <w:lastRenderedPageBreak/>
        <w:t>Knowing about God</w:t>
      </w:r>
    </w:p>
    <w:p w14:paraId="735A25DE" w14:textId="7E665368" w:rsidR="007558F8" w:rsidRDefault="00883AD6" w:rsidP="00C74E17">
      <w:pPr>
        <w:rPr>
          <w:rFonts w:ascii="Garamond" w:hAnsi="Garamond"/>
        </w:rPr>
      </w:pPr>
      <w:r>
        <w:rPr>
          <w:rFonts w:ascii="Garamond" w:hAnsi="Garamond"/>
        </w:rPr>
        <w:t>Finally, whilst knowing about s</w:t>
      </w:r>
      <w:bookmarkStart w:id="0" w:name="_GoBack"/>
      <w:bookmarkEnd w:id="0"/>
      <w:r>
        <w:rPr>
          <w:rFonts w:ascii="Garamond" w:hAnsi="Garamond"/>
        </w:rPr>
        <w:t xml:space="preserve">omeone is not sufficient for knowing someone, it does appear to have some importance, especially for knowing someone well. </w:t>
      </w:r>
      <w:r w:rsidR="007558F8">
        <w:rPr>
          <w:rFonts w:ascii="Garamond" w:hAnsi="Garamond"/>
        </w:rPr>
        <w:t xml:space="preserve">As Talbert suggests, engaging with a person, and knowing-how to engage them gives us a great deal of propositional knowledge about that </w:t>
      </w:r>
      <w:r w:rsidR="007558F8" w:rsidRPr="007558F8">
        <w:rPr>
          <w:rFonts w:ascii="Garamond" w:hAnsi="Garamond"/>
        </w:rPr>
        <w:t>person. For example, we can know what she has</w:t>
      </w:r>
      <w:r w:rsidR="007558F8">
        <w:rPr>
          <w:rFonts w:ascii="Garamond" w:hAnsi="Garamond"/>
        </w:rPr>
        <w:t xml:space="preserve"> </w:t>
      </w:r>
      <w:r w:rsidR="007558F8" w:rsidRPr="007558F8">
        <w:rPr>
          <w:rFonts w:ascii="Garamond" w:hAnsi="Garamond"/>
        </w:rPr>
        <w:t>‘</w:t>
      </w:r>
      <w:r w:rsidR="007558F8" w:rsidRPr="007558F8">
        <w:rPr>
          <w:rFonts w:ascii="Garamond" w:hAnsi="Garamond" w:cs="Times New Roman"/>
          <w:lang w:val="en-US"/>
        </w:rPr>
        <w:t>thought, felt, said, done, perceived, and such in our presence’ (2005, 198).</w:t>
      </w:r>
      <w:r w:rsidR="007558F8">
        <w:rPr>
          <w:rFonts w:ascii="Times New Roman" w:hAnsi="Times New Roman" w:cs="Times New Roman"/>
          <w:sz w:val="22"/>
          <w:szCs w:val="22"/>
          <w:lang w:val="en-US"/>
        </w:rPr>
        <w:t xml:space="preserve"> </w:t>
      </w:r>
    </w:p>
    <w:p w14:paraId="33CAB873" w14:textId="7B0809A1" w:rsidR="00C74E17" w:rsidRPr="001869B5" w:rsidRDefault="00883AD6" w:rsidP="007558F8">
      <w:pPr>
        <w:ind w:firstLine="720"/>
        <w:rPr>
          <w:rFonts w:ascii="Garamond" w:hAnsi="Garamond"/>
        </w:rPr>
      </w:pPr>
      <w:r>
        <w:rPr>
          <w:rFonts w:ascii="Garamond" w:hAnsi="Garamond"/>
        </w:rPr>
        <w:t>However, i</w:t>
      </w:r>
      <w:r w:rsidR="00C74E17" w:rsidRPr="001869B5">
        <w:rPr>
          <w:rFonts w:ascii="Garamond" w:hAnsi="Garamond"/>
        </w:rPr>
        <w:t xml:space="preserve">t is interesting to note that work on liturgy as a means of knowing </w:t>
      </w:r>
      <w:r w:rsidR="00C74E17" w:rsidRPr="001869B5">
        <w:rPr>
          <w:rFonts w:ascii="Garamond" w:hAnsi="Garamond"/>
          <w:i/>
        </w:rPr>
        <w:t>about</w:t>
      </w:r>
      <w:r w:rsidR="00C74E17" w:rsidRPr="001869B5">
        <w:rPr>
          <w:rFonts w:ascii="Garamond" w:hAnsi="Garamond"/>
        </w:rPr>
        <w:t xml:space="preserve"> God has been the least developed area of liturgical epistemology. Indeed, many of those working in this area are keen to stress that liturgy does not primarily give us information about</w:t>
      </w:r>
      <w:r w:rsidR="00C74E17" w:rsidRPr="001869B5">
        <w:rPr>
          <w:rFonts w:ascii="Garamond" w:hAnsi="Garamond"/>
          <w:i/>
        </w:rPr>
        <w:t xml:space="preserve"> </w:t>
      </w:r>
      <w:r w:rsidR="00C74E17" w:rsidRPr="001869B5">
        <w:rPr>
          <w:rFonts w:ascii="Garamond" w:hAnsi="Garamond"/>
        </w:rPr>
        <w:t xml:space="preserve">God. For example, Cuneo notes that ‘Christianity is not a body of propositions. Its fundamental aim is not to produce agents that form warranted beliefs about God’ (2016, 147-48). And Smith writes, ‘Being a disciple of Jesus is not primarily a matter of getting the right ideas and doctrines and beliefs into your head in order to guarantee proper behaviour…given the sorts of animals we are, we pray </w:t>
      </w:r>
      <w:r w:rsidR="00C74E17" w:rsidRPr="001869B5">
        <w:rPr>
          <w:rFonts w:ascii="Garamond" w:hAnsi="Garamond"/>
          <w:i/>
        </w:rPr>
        <w:t xml:space="preserve">before </w:t>
      </w:r>
      <w:r w:rsidR="00C74E17" w:rsidRPr="001869B5">
        <w:rPr>
          <w:rFonts w:ascii="Garamond" w:hAnsi="Garamond"/>
        </w:rPr>
        <w:t xml:space="preserve">we believe, we worship before we know—or rather, we worship </w:t>
      </w:r>
      <w:r w:rsidR="00C74E17" w:rsidRPr="001869B5">
        <w:rPr>
          <w:rFonts w:ascii="Garamond" w:hAnsi="Garamond"/>
          <w:i/>
        </w:rPr>
        <w:t xml:space="preserve">in order </w:t>
      </w:r>
      <w:r w:rsidR="00C74E17" w:rsidRPr="001869B5">
        <w:rPr>
          <w:rFonts w:ascii="Garamond" w:hAnsi="Garamond"/>
        </w:rPr>
        <w:t xml:space="preserve">to know’ (2009, 33-34). Whereas the vast majority of philosophy of religion concerns itself with analysing the rational defensibility of religious beliefs or explicating the content of Christian doctrine, the philosophy of liturgy has resisted this point of focus. There are good reasons for this. Focusing only on what we can know about God falls short of knowing God, and so focusing only on the propositional content of the Christian faith falls short of giving an analysis of the Christian faith. </w:t>
      </w:r>
    </w:p>
    <w:p w14:paraId="66430478" w14:textId="77777777" w:rsidR="007558F8" w:rsidRDefault="00C74E17" w:rsidP="00C74E17">
      <w:pPr>
        <w:ind w:firstLine="720"/>
        <w:rPr>
          <w:rFonts w:ascii="Garamond" w:hAnsi="Garamond"/>
        </w:rPr>
      </w:pPr>
      <w:r w:rsidRPr="001869B5">
        <w:rPr>
          <w:rFonts w:ascii="Garamond" w:hAnsi="Garamond"/>
        </w:rPr>
        <w:t xml:space="preserve">Coakley (2013), in her short essay on truth in liturgy, briefly suggests some ways in which liturgy might allow us to acquire propositional knowledge. She suggests that, it might be the case that ‘ordinary propositional truth </w:t>
      </w:r>
      <w:r w:rsidRPr="001869B5">
        <w:rPr>
          <w:rFonts w:ascii="Garamond" w:hAnsi="Garamond"/>
          <w:i/>
        </w:rPr>
        <w:t xml:space="preserve">is </w:t>
      </w:r>
      <w:r w:rsidRPr="001869B5">
        <w:rPr>
          <w:rFonts w:ascii="Garamond" w:hAnsi="Garamond"/>
        </w:rPr>
        <w:t xml:space="preserve">at stake’ (2013, 133) in the liturgy through the recitation of the propositions of Nicene Creed, for instance. She writes that, ‘it could in principle also be that liturgy, in virtue of certain repetitive belief-forming practices, could actually mount some kind of “justification” thereby for beliefs’ (2013, 134). Coakley quickly moves on from this suggestion to consider a ‘deeper’ kind of truth which is acquired through encountering God personally through liturgy, yet her briefs remarks provide some account of how propositional beliefs might be formed and justified through liturgy. </w:t>
      </w:r>
    </w:p>
    <w:p w14:paraId="0312F1D1" w14:textId="369AA89B" w:rsidR="00C74E17" w:rsidRPr="001869B5" w:rsidRDefault="00C74E17" w:rsidP="007558F8">
      <w:pPr>
        <w:ind w:firstLine="720"/>
        <w:rPr>
          <w:rFonts w:ascii="Garamond" w:hAnsi="Garamond"/>
        </w:rPr>
      </w:pPr>
      <w:r w:rsidRPr="001869B5">
        <w:rPr>
          <w:rFonts w:ascii="Garamond" w:hAnsi="Garamond"/>
        </w:rPr>
        <w:t xml:space="preserve">Moreover, whilst, as we have seen, Wolterstorff’s primary concern is to give an analysis of liturgy and phenomenal knowledge of God, his account could easily be amended to fill out Coakley’s suggestion in more detail. Wolterstorff notes that ‘one can use these terms to make declarations about God. But that’s not how they are used when they are incorporated into address to God’ (2017, 13). However, it seems reasonable to think that in coming to know God as almighty in successfully addressing God as almighty, one might also come to know that God is almighty. Indeed, given that Wolterstorff suggests that ‘[t]he better one understands the meaning of the addressee-identification terms used when addressing God liturgically, the deeper one’s knowledge of God—assuming that the terms fit God’ (2017, 14), it would seem to follow that one could also come to know </w:t>
      </w:r>
      <w:r w:rsidRPr="001869B5">
        <w:rPr>
          <w:rFonts w:ascii="Garamond" w:hAnsi="Garamond"/>
          <w:i/>
        </w:rPr>
        <w:t xml:space="preserve">about </w:t>
      </w:r>
      <w:r w:rsidRPr="001869B5">
        <w:rPr>
          <w:rFonts w:ascii="Garamond" w:hAnsi="Garamond"/>
        </w:rPr>
        <w:t xml:space="preserve">God through the repetition of addressee-identification terms. </w:t>
      </w:r>
    </w:p>
    <w:p w14:paraId="08D390D5" w14:textId="100D568A" w:rsidR="00C74E17" w:rsidRPr="001869B5" w:rsidRDefault="009E5F9B" w:rsidP="00C74E17">
      <w:pPr>
        <w:ind w:firstLine="720"/>
        <w:rPr>
          <w:rFonts w:ascii="Garamond" w:hAnsi="Garamond"/>
        </w:rPr>
      </w:pPr>
      <w:r w:rsidRPr="001869B5">
        <w:rPr>
          <w:rFonts w:ascii="Garamond" w:hAnsi="Garamond"/>
        </w:rPr>
        <w:t>W</w:t>
      </w:r>
      <w:r w:rsidR="00C74E17" w:rsidRPr="001869B5">
        <w:rPr>
          <w:rFonts w:ascii="Garamond" w:hAnsi="Garamond"/>
        </w:rPr>
        <w:t xml:space="preserve">hilst there is little work explicitly concerned with giving an account of knowing about God through liturgy, much of what is said assumes that such knowledge follows other kinds of knowing, be that phenomenal or practical knowledge. Smith’s concern, for instance, is to shift the focus from an overly </w:t>
      </w:r>
      <w:r w:rsidR="007558F8">
        <w:rPr>
          <w:rFonts w:ascii="Garamond" w:hAnsi="Garamond"/>
        </w:rPr>
        <w:t>cognitive</w:t>
      </w:r>
      <w:r w:rsidR="00C74E17" w:rsidRPr="001869B5">
        <w:rPr>
          <w:rFonts w:ascii="Garamond" w:hAnsi="Garamond"/>
        </w:rPr>
        <w:t xml:space="preserve"> understanding of what worship is for to be reframed</w:t>
      </w:r>
      <w:r w:rsidR="003B0742">
        <w:rPr>
          <w:rFonts w:ascii="Garamond" w:hAnsi="Garamond"/>
        </w:rPr>
        <w:t xml:space="preserve"> by</w:t>
      </w:r>
      <w:r w:rsidR="00C74E17" w:rsidRPr="001869B5">
        <w:rPr>
          <w:rFonts w:ascii="Garamond" w:hAnsi="Garamond"/>
        </w:rPr>
        <w:t xml:space="preserve"> his anthropology of human beings as desiring, embodied creatures. Yet, the implication of much of the liturgical epistemology I have considered is not that belief is not important, but, rather, that belief about God is acquired as a result of our embodied practical-knowledge and our knowledge of what God is like and not the other way around. Smith suggest that, rather than thinking of doctrine informing our understanding of practi</w:t>
      </w:r>
      <w:r w:rsidRPr="001869B5">
        <w:rPr>
          <w:rFonts w:ascii="Garamond" w:hAnsi="Garamond"/>
        </w:rPr>
        <w:t xml:space="preserve">ce, we should rather think that </w:t>
      </w:r>
      <w:r w:rsidR="00C74E17" w:rsidRPr="001869B5">
        <w:rPr>
          <w:rFonts w:ascii="Garamond" w:hAnsi="Garamond"/>
        </w:rPr>
        <w:t xml:space="preserve">‘“Doctrines” are the cognitive, theoretical articulation of what we “understand” when we pray’ (2009, 70). Nevertheless, it still remains true that these connections have not been developed fully in the </w:t>
      </w:r>
      <w:r w:rsidR="00C74E17" w:rsidRPr="001869B5">
        <w:rPr>
          <w:rFonts w:ascii="Garamond" w:hAnsi="Garamond"/>
        </w:rPr>
        <w:lastRenderedPageBreak/>
        <w:t xml:space="preserve">literature, at least not by all of the philosophers cited here, and the question of how liturgy furnishes our beliefs about God is a question which deserves further </w:t>
      </w:r>
      <w:r w:rsidR="007558F8">
        <w:rPr>
          <w:rFonts w:ascii="Garamond" w:hAnsi="Garamond"/>
        </w:rPr>
        <w:t>exploration</w:t>
      </w:r>
      <w:r w:rsidR="00C74E17" w:rsidRPr="001869B5">
        <w:rPr>
          <w:rFonts w:ascii="Garamond" w:hAnsi="Garamond"/>
        </w:rPr>
        <w:t>.</w:t>
      </w:r>
    </w:p>
    <w:p w14:paraId="3767EDCF" w14:textId="77777777" w:rsidR="00C74E17" w:rsidRPr="001869B5" w:rsidRDefault="00C74E17" w:rsidP="00C74E17">
      <w:pPr>
        <w:rPr>
          <w:rFonts w:ascii="Garamond" w:hAnsi="Garamond"/>
        </w:rPr>
      </w:pPr>
    </w:p>
    <w:p w14:paraId="291AF209" w14:textId="77777777" w:rsidR="00C74E17" w:rsidRPr="001869B5" w:rsidRDefault="00C74E17" w:rsidP="00606267">
      <w:pPr>
        <w:outlineLvl w:val="0"/>
        <w:rPr>
          <w:rFonts w:ascii="Garamond" w:hAnsi="Garamond"/>
          <w:b/>
        </w:rPr>
      </w:pPr>
      <w:r w:rsidRPr="001869B5">
        <w:rPr>
          <w:rFonts w:ascii="Garamond" w:hAnsi="Garamond"/>
          <w:b/>
        </w:rPr>
        <w:t>Future directions for the philosophy of liturgy</w:t>
      </w:r>
    </w:p>
    <w:p w14:paraId="09C417A4" w14:textId="268E30A1" w:rsidR="00C74E17" w:rsidRPr="001869B5" w:rsidRDefault="00C74E17" w:rsidP="00C74E17">
      <w:pPr>
        <w:rPr>
          <w:rFonts w:ascii="Garamond" w:hAnsi="Garamond"/>
        </w:rPr>
      </w:pPr>
      <w:r w:rsidRPr="001869B5">
        <w:rPr>
          <w:rFonts w:ascii="Garamond" w:hAnsi="Garamond"/>
        </w:rPr>
        <w:t xml:space="preserve">The philosophical study of liturgy is a very recent phenomenon and there is much still to be said in this important area of study. Indeed, in this short article, I have sketched just </w:t>
      </w:r>
      <w:r w:rsidR="007558F8">
        <w:rPr>
          <w:rFonts w:ascii="Garamond" w:hAnsi="Garamond"/>
        </w:rPr>
        <w:t>two</w:t>
      </w:r>
      <w:r w:rsidR="003B0742">
        <w:rPr>
          <w:rFonts w:ascii="Garamond" w:hAnsi="Garamond"/>
        </w:rPr>
        <w:t xml:space="preserve"> area</w:t>
      </w:r>
      <w:r w:rsidR="007558F8">
        <w:rPr>
          <w:rFonts w:ascii="Garamond" w:hAnsi="Garamond"/>
        </w:rPr>
        <w:t>s</w:t>
      </w:r>
      <w:r w:rsidRPr="001869B5">
        <w:rPr>
          <w:rFonts w:ascii="Garamond" w:hAnsi="Garamond"/>
        </w:rPr>
        <w:t xml:space="preserve"> that this literature has engaged with, but there are many other issues which there has not been space to outline. </w:t>
      </w:r>
    </w:p>
    <w:p w14:paraId="42CBB649" w14:textId="37EC5114" w:rsidR="00C74E17" w:rsidRPr="001869B5" w:rsidRDefault="002B24BB" w:rsidP="00C74E17">
      <w:pPr>
        <w:rPr>
          <w:rFonts w:ascii="Garamond" w:eastAsia="Times New Roman" w:hAnsi="Garamond" w:cs="Times New Roman"/>
          <w:color w:val="111111"/>
          <w:shd w:val="clear" w:color="auto" w:fill="FFFFFF"/>
        </w:rPr>
      </w:pPr>
      <w:r w:rsidRPr="001869B5">
        <w:rPr>
          <w:rFonts w:ascii="Garamond" w:hAnsi="Garamond"/>
        </w:rPr>
        <w:tab/>
      </w:r>
      <w:r w:rsidR="00C74E17" w:rsidRPr="001869B5">
        <w:rPr>
          <w:rFonts w:ascii="Garamond" w:hAnsi="Garamond"/>
        </w:rPr>
        <w:t>I have already noted the lack of focus on propositional knowledge and liturgy, particularly in the analytic literate. This area of work points to a deeper, more fundamental issue, which Wolterstorff points out: ‘</w:t>
      </w:r>
      <w:r w:rsidR="00C74E17" w:rsidRPr="001869B5">
        <w:rPr>
          <w:rFonts w:ascii="Garamond" w:eastAsia="Times New Roman" w:hAnsi="Garamond" w:cs="Times New Roman"/>
          <w:color w:val="111111"/>
          <w:shd w:val="clear" w:color="auto" w:fill="FFFFFF"/>
        </w:rPr>
        <w:t xml:space="preserve">It would be desirable to have a comprehensive discussion of the ways in which we come to know God liturgically; such a discussion would identify and </w:t>
      </w:r>
      <w:proofErr w:type="spellStart"/>
      <w:r w:rsidR="00C74E17" w:rsidRPr="001869B5">
        <w:rPr>
          <w:rFonts w:ascii="Garamond" w:eastAsia="Times New Roman" w:hAnsi="Garamond" w:cs="Times New Roman"/>
          <w:color w:val="111111"/>
          <w:shd w:val="clear" w:color="auto" w:fill="FFFFFF"/>
        </w:rPr>
        <w:t>analyze</w:t>
      </w:r>
      <w:proofErr w:type="spellEnd"/>
      <w:r w:rsidR="00C74E17" w:rsidRPr="001869B5">
        <w:rPr>
          <w:rFonts w:ascii="Garamond" w:eastAsia="Times New Roman" w:hAnsi="Garamond" w:cs="Times New Roman"/>
          <w:color w:val="111111"/>
          <w:shd w:val="clear" w:color="auto" w:fill="FFFFFF"/>
        </w:rPr>
        <w:t xml:space="preserve"> the different ways, and it would show how these different ways interact with each other’ (2017, 9). I’ve suggested that much of the work concerning liturgical epistemology fits more broadly under the umbrella of personal epistemology. However, the literature on knowing other persons is as recent and underdeveloped (if not more so) than the literature on liturgy. Thus, to really make progress in understanding how liturgy can allow us to know God personally, </w:t>
      </w:r>
      <w:r w:rsidR="00C74E17" w:rsidRPr="001869B5">
        <w:rPr>
          <w:rFonts w:ascii="Garamond" w:hAnsi="Garamond"/>
        </w:rPr>
        <w:t>it would be beneficial to have a firmer grasp on the nature of personal knowledge, more generally.</w:t>
      </w:r>
    </w:p>
    <w:p w14:paraId="1C1CE1D8" w14:textId="1376C878" w:rsidR="00C74E17" w:rsidRPr="001869B5" w:rsidRDefault="00C74E17" w:rsidP="00C74E17">
      <w:pPr>
        <w:rPr>
          <w:rFonts w:ascii="Garamond" w:hAnsi="Garamond"/>
        </w:rPr>
      </w:pPr>
      <w:r w:rsidRPr="001869B5">
        <w:rPr>
          <w:rFonts w:ascii="Garamond" w:hAnsi="Garamond"/>
        </w:rPr>
        <w:tab/>
        <w:t xml:space="preserve">Another epistemological issue which could benefit from further development is the social dimension of knowing liturgically. Whilst the work on liturgical action has focused on some of the issues involved in acting together, the same kind of attention has not been given to thinking about how the social dimension of liturgy impacts our understanding of epistemology. The vast literature on group knowledge and common knowledge appears to present a ripe array of conceptual </w:t>
      </w:r>
      <w:r w:rsidR="007558F8">
        <w:rPr>
          <w:rFonts w:ascii="Garamond" w:hAnsi="Garamond"/>
        </w:rPr>
        <w:t>analyses which have</w:t>
      </w:r>
      <w:r w:rsidRPr="001869B5">
        <w:rPr>
          <w:rFonts w:ascii="Garamond" w:hAnsi="Garamond"/>
        </w:rPr>
        <w:t xml:space="preserve"> obvious and important applications to our understanding of liturgical epistemology. </w:t>
      </w:r>
    </w:p>
    <w:p w14:paraId="6EC8EC9E" w14:textId="20AA7BE5" w:rsidR="00C74E17" w:rsidRPr="001869B5" w:rsidRDefault="002B24BB" w:rsidP="00C74E17">
      <w:pPr>
        <w:rPr>
          <w:rFonts w:ascii="Garamond" w:hAnsi="Garamond"/>
        </w:rPr>
      </w:pPr>
      <w:r w:rsidRPr="001869B5">
        <w:rPr>
          <w:rFonts w:ascii="Garamond" w:hAnsi="Garamond"/>
        </w:rPr>
        <w:tab/>
      </w:r>
    </w:p>
    <w:p w14:paraId="2D2A63C2" w14:textId="77777777" w:rsidR="00C74E17" w:rsidRPr="001869B5" w:rsidRDefault="00C74E17" w:rsidP="00C74E17">
      <w:pPr>
        <w:rPr>
          <w:rFonts w:ascii="Garamond" w:hAnsi="Garamond"/>
          <w:b/>
        </w:rPr>
      </w:pPr>
    </w:p>
    <w:p w14:paraId="4E41D4C7" w14:textId="3BB2A9AF" w:rsidR="00C74E17" w:rsidRPr="001869B5" w:rsidRDefault="00C74E17" w:rsidP="00C74E17">
      <w:pPr>
        <w:rPr>
          <w:rFonts w:ascii="Garamond" w:hAnsi="Garamond"/>
          <w:b/>
        </w:rPr>
      </w:pPr>
    </w:p>
    <w:p w14:paraId="7EFC2CD8" w14:textId="229F0EA4" w:rsidR="00C74E17" w:rsidRPr="001869B5" w:rsidRDefault="002B24BB" w:rsidP="00606267">
      <w:pPr>
        <w:outlineLvl w:val="0"/>
        <w:rPr>
          <w:rFonts w:ascii="Garamond" w:hAnsi="Garamond"/>
        </w:rPr>
      </w:pPr>
      <w:r w:rsidRPr="001869B5">
        <w:rPr>
          <w:rFonts w:ascii="Garamond" w:hAnsi="Garamond"/>
        </w:rPr>
        <w:br w:type="page"/>
      </w:r>
      <w:r w:rsidR="00C74E17" w:rsidRPr="001869B5">
        <w:rPr>
          <w:rFonts w:ascii="Garamond" w:hAnsi="Garamond"/>
          <w:b/>
        </w:rPr>
        <w:lastRenderedPageBreak/>
        <w:t>Bibliography</w:t>
      </w:r>
    </w:p>
    <w:p w14:paraId="67DA2F37" w14:textId="3FC6FE01" w:rsidR="00C74E17" w:rsidRPr="001869B5" w:rsidRDefault="00C74E17" w:rsidP="00C74E17">
      <w:pPr>
        <w:spacing w:line="360" w:lineRule="auto"/>
        <w:ind w:left="2160" w:hanging="2160"/>
        <w:rPr>
          <w:rFonts w:ascii="Garamond" w:hAnsi="Garamond"/>
        </w:rPr>
      </w:pPr>
      <w:r w:rsidRPr="001869B5">
        <w:rPr>
          <w:rFonts w:ascii="Garamond" w:hAnsi="Garamond"/>
        </w:rPr>
        <w:t>Benton, A. Matthew</w:t>
      </w:r>
      <w:r w:rsidRPr="001869B5">
        <w:rPr>
          <w:rFonts w:ascii="Garamond" w:hAnsi="Garamond"/>
        </w:rPr>
        <w:tab/>
        <w:t>2017. ‘Epistemology Personalized’</w:t>
      </w:r>
      <w:r w:rsidR="00B44DA1">
        <w:rPr>
          <w:rFonts w:ascii="Garamond" w:hAnsi="Garamond"/>
        </w:rPr>
        <w:t>.</w:t>
      </w:r>
      <w:r w:rsidRPr="001869B5">
        <w:rPr>
          <w:rFonts w:ascii="Garamond" w:hAnsi="Garamond"/>
        </w:rPr>
        <w:t xml:space="preserve"> </w:t>
      </w:r>
      <w:r w:rsidRPr="001869B5">
        <w:rPr>
          <w:rFonts w:ascii="Garamond" w:hAnsi="Garamond"/>
          <w:i/>
        </w:rPr>
        <w:t>The Philosophical Quarterly</w:t>
      </w:r>
      <w:r w:rsidR="00B44DA1">
        <w:rPr>
          <w:rFonts w:ascii="Garamond" w:hAnsi="Garamond"/>
        </w:rPr>
        <w:t>, 67.269:</w:t>
      </w:r>
      <w:r w:rsidRPr="001869B5">
        <w:rPr>
          <w:rFonts w:ascii="Garamond" w:hAnsi="Garamond"/>
        </w:rPr>
        <w:t xml:space="preserve"> 813-834.</w:t>
      </w:r>
    </w:p>
    <w:p w14:paraId="486330DC" w14:textId="217BB167" w:rsidR="00C74E17" w:rsidRPr="00B44DA1" w:rsidRDefault="00C74E17" w:rsidP="00B44DA1">
      <w:pPr>
        <w:spacing w:line="360" w:lineRule="auto"/>
        <w:ind w:left="2160" w:hanging="2160"/>
        <w:rPr>
          <w:rFonts w:ascii="Garamond" w:hAnsi="Garamond"/>
        </w:rPr>
      </w:pPr>
      <w:r w:rsidRPr="001869B5">
        <w:rPr>
          <w:rFonts w:ascii="Garamond" w:hAnsi="Garamond"/>
        </w:rPr>
        <w:t xml:space="preserve">Coakley, Sarah. </w:t>
      </w:r>
      <w:r w:rsidRPr="001869B5">
        <w:rPr>
          <w:rFonts w:ascii="Garamond" w:hAnsi="Garamond"/>
        </w:rPr>
        <w:tab/>
        <w:t>2013. ‘Beyond “Belief” Liturgy and the</w:t>
      </w:r>
      <w:r w:rsidR="00B44DA1">
        <w:rPr>
          <w:rFonts w:ascii="Garamond" w:hAnsi="Garamond"/>
        </w:rPr>
        <w:t xml:space="preserve"> Cognitive Apprehension of God’. In </w:t>
      </w:r>
      <w:proofErr w:type="gramStart"/>
      <w:r w:rsidRPr="001869B5">
        <w:rPr>
          <w:rFonts w:ascii="Garamond" w:hAnsi="Garamond" w:cs="Arial"/>
          <w:i/>
        </w:rPr>
        <w:t>The</w:t>
      </w:r>
      <w:proofErr w:type="gramEnd"/>
      <w:r w:rsidRPr="001869B5">
        <w:rPr>
          <w:rFonts w:ascii="Garamond" w:hAnsi="Garamond" w:cs="Arial"/>
          <w:i/>
        </w:rPr>
        <w:t xml:space="preserve"> Vocation of Theology Today: A Festschrift for David Ford</w:t>
      </w:r>
      <w:r w:rsidRPr="001869B5">
        <w:rPr>
          <w:rFonts w:ascii="Garamond" w:hAnsi="Garamond" w:cs="Arial"/>
        </w:rPr>
        <w:t>, edited by Tom Greggs</w:t>
      </w:r>
      <w:r w:rsidR="00B44DA1">
        <w:rPr>
          <w:rFonts w:ascii="Garamond" w:hAnsi="Garamond" w:cs="Arial"/>
        </w:rPr>
        <w:t xml:space="preserve">, Rachel </w:t>
      </w:r>
      <w:proofErr w:type="spellStart"/>
      <w:r w:rsidR="00B44DA1">
        <w:rPr>
          <w:rFonts w:ascii="Garamond" w:hAnsi="Garamond" w:cs="Arial"/>
        </w:rPr>
        <w:t>Muers</w:t>
      </w:r>
      <w:proofErr w:type="spellEnd"/>
      <w:r w:rsidR="00B44DA1">
        <w:rPr>
          <w:rFonts w:ascii="Garamond" w:hAnsi="Garamond" w:cs="Arial"/>
        </w:rPr>
        <w:t xml:space="preserve">, and Simeon </w:t>
      </w:r>
      <w:proofErr w:type="spellStart"/>
      <w:r w:rsidR="00B44DA1">
        <w:rPr>
          <w:rFonts w:ascii="Garamond" w:hAnsi="Garamond" w:cs="Arial"/>
        </w:rPr>
        <w:t>Zahl</w:t>
      </w:r>
      <w:proofErr w:type="spellEnd"/>
      <w:r w:rsidR="00B44DA1">
        <w:rPr>
          <w:rFonts w:ascii="Garamond" w:hAnsi="Garamond" w:cs="Arial"/>
        </w:rPr>
        <w:t>:</w:t>
      </w:r>
      <w:r w:rsidRPr="001869B5">
        <w:rPr>
          <w:rFonts w:ascii="Garamond" w:hAnsi="Garamond" w:cs="Arial"/>
        </w:rPr>
        <w:t xml:space="preserve"> 131–145. (Cascade Books).</w:t>
      </w:r>
    </w:p>
    <w:p w14:paraId="278D4E5E" w14:textId="24A4E658" w:rsidR="00C74E17" w:rsidRPr="001869B5" w:rsidRDefault="00C74E17" w:rsidP="009D272B">
      <w:pPr>
        <w:spacing w:line="360" w:lineRule="auto"/>
        <w:ind w:left="2160" w:hanging="2160"/>
        <w:rPr>
          <w:rFonts w:ascii="Garamond" w:hAnsi="Garamond"/>
        </w:rPr>
      </w:pPr>
      <w:r w:rsidRPr="001869B5">
        <w:rPr>
          <w:rFonts w:ascii="Garamond" w:hAnsi="Garamond"/>
        </w:rPr>
        <w:t xml:space="preserve">Cockayne, Joshua and </w:t>
      </w:r>
      <w:r w:rsidR="009D272B" w:rsidRPr="001869B5">
        <w:rPr>
          <w:rFonts w:ascii="Garamond" w:hAnsi="Garamond"/>
        </w:rPr>
        <w:tab/>
      </w:r>
      <w:r w:rsidRPr="001869B5">
        <w:rPr>
          <w:rFonts w:ascii="Garamond" w:hAnsi="Garamond"/>
        </w:rPr>
        <w:t xml:space="preserve">Forthcoming. ‘Common Worship’, </w:t>
      </w:r>
      <w:r w:rsidRPr="001869B5">
        <w:rPr>
          <w:rFonts w:ascii="Garamond" w:hAnsi="Garamond"/>
          <w:i/>
        </w:rPr>
        <w:t>Faith and Philosophy.</w:t>
      </w:r>
    </w:p>
    <w:p w14:paraId="72B6A89A" w14:textId="549C12F3" w:rsidR="00D9406D" w:rsidRPr="001869B5" w:rsidRDefault="009D272B" w:rsidP="001869B5">
      <w:pPr>
        <w:spacing w:line="360" w:lineRule="auto"/>
        <w:ind w:left="2160" w:hanging="2160"/>
        <w:rPr>
          <w:rFonts w:ascii="Garamond" w:hAnsi="Garamond"/>
        </w:rPr>
      </w:pPr>
      <w:proofErr w:type="spellStart"/>
      <w:r w:rsidRPr="001869B5">
        <w:rPr>
          <w:rFonts w:ascii="Garamond" w:hAnsi="Garamond"/>
        </w:rPr>
        <w:t>Efird</w:t>
      </w:r>
      <w:proofErr w:type="spellEnd"/>
      <w:r w:rsidRPr="001869B5">
        <w:rPr>
          <w:rFonts w:ascii="Garamond" w:hAnsi="Garamond"/>
        </w:rPr>
        <w:t xml:space="preserve">, David. </w:t>
      </w:r>
    </w:p>
    <w:p w14:paraId="042941AB" w14:textId="1DC7206F" w:rsidR="00C74E17" w:rsidRPr="001869B5" w:rsidRDefault="00C74E17" w:rsidP="00C74E17">
      <w:pPr>
        <w:spacing w:line="360" w:lineRule="auto"/>
        <w:ind w:left="2160" w:hanging="2160"/>
        <w:rPr>
          <w:rFonts w:ascii="Garamond" w:eastAsia="Garamond" w:hAnsi="Garamond" w:cs="Garamond"/>
          <w:i/>
          <w:color w:val="000000" w:themeColor="text1"/>
        </w:rPr>
      </w:pPr>
      <w:r w:rsidRPr="001869B5">
        <w:rPr>
          <w:rFonts w:ascii="Garamond" w:hAnsi="Garamond"/>
        </w:rPr>
        <w:t>Cockayne, Joshua,</w:t>
      </w:r>
      <w:r w:rsidRPr="001869B5">
        <w:rPr>
          <w:rFonts w:ascii="Garamond" w:eastAsia="Garamond" w:hAnsi="Garamond" w:cs="Garamond"/>
          <w:color w:val="000000" w:themeColor="text1"/>
        </w:rPr>
        <w:t xml:space="preserve"> </w:t>
      </w:r>
      <w:r w:rsidRPr="001869B5">
        <w:rPr>
          <w:rFonts w:ascii="Garamond" w:eastAsia="Garamond" w:hAnsi="Garamond" w:cs="Garamond"/>
          <w:color w:val="000000" w:themeColor="text1"/>
        </w:rPr>
        <w:tab/>
        <w:t>2017. ‘Experiencing the Real Presence of Christ in the Eucharist'</w:t>
      </w:r>
      <w:r w:rsidR="00B44DA1">
        <w:rPr>
          <w:rFonts w:ascii="Garamond" w:eastAsia="Garamond" w:hAnsi="Garamond" w:cs="Garamond"/>
          <w:color w:val="000000" w:themeColor="text1"/>
        </w:rPr>
        <w:t xml:space="preserve">. </w:t>
      </w:r>
      <w:r w:rsidRPr="001869B5">
        <w:rPr>
          <w:rFonts w:ascii="Garamond" w:eastAsia="Garamond" w:hAnsi="Garamond" w:cs="Garamond"/>
          <w:i/>
          <w:color w:val="000000" w:themeColor="text1"/>
        </w:rPr>
        <w:t>Journal</w:t>
      </w:r>
    </w:p>
    <w:p w14:paraId="3DC8DD6A" w14:textId="09DAA006" w:rsidR="00C74E17" w:rsidRPr="001869B5" w:rsidRDefault="00C74E17" w:rsidP="00C74E17">
      <w:pPr>
        <w:spacing w:line="360" w:lineRule="auto"/>
        <w:ind w:left="2160" w:hanging="2160"/>
        <w:rPr>
          <w:rFonts w:ascii="Garamond" w:eastAsia="Garamond" w:hAnsi="Garamond" w:cs="Garamond"/>
          <w:color w:val="000000" w:themeColor="text1"/>
        </w:rPr>
      </w:pPr>
      <w:proofErr w:type="spellStart"/>
      <w:r w:rsidRPr="001869B5">
        <w:rPr>
          <w:rFonts w:ascii="Garamond" w:eastAsia="Garamond" w:hAnsi="Garamond" w:cs="Garamond"/>
          <w:color w:val="000000" w:themeColor="text1"/>
        </w:rPr>
        <w:t>Efird</w:t>
      </w:r>
      <w:proofErr w:type="spellEnd"/>
      <w:r w:rsidRPr="001869B5">
        <w:rPr>
          <w:rFonts w:ascii="Garamond" w:eastAsia="Garamond" w:hAnsi="Garamond" w:cs="Garamond"/>
          <w:color w:val="000000" w:themeColor="text1"/>
        </w:rPr>
        <w:t xml:space="preserve">, David, </w:t>
      </w:r>
      <w:r w:rsidRPr="001869B5">
        <w:rPr>
          <w:rFonts w:ascii="Garamond" w:eastAsia="Garamond" w:hAnsi="Garamond" w:cs="Garamond"/>
          <w:color w:val="000000" w:themeColor="text1"/>
        </w:rPr>
        <w:tab/>
      </w:r>
      <w:r w:rsidR="00B44DA1">
        <w:rPr>
          <w:rFonts w:ascii="Garamond" w:eastAsia="Garamond" w:hAnsi="Garamond" w:cs="Garamond"/>
          <w:i/>
          <w:color w:val="000000" w:themeColor="text1"/>
        </w:rPr>
        <w:t xml:space="preserve">of Analytic Theology. </w:t>
      </w:r>
      <w:r w:rsidRPr="001869B5">
        <w:rPr>
          <w:rFonts w:ascii="Garamond" w:eastAsia="Garamond" w:hAnsi="Garamond" w:cs="Garamond"/>
          <w:color w:val="000000" w:themeColor="text1"/>
        </w:rPr>
        <w:t>Vol. 5.</w:t>
      </w:r>
    </w:p>
    <w:p w14:paraId="5DE3105C" w14:textId="77777777" w:rsidR="00C74E17" w:rsidRPr="001869B5" w:rsidRDefault="00C74E17" w:rsidP="00C74E17">
      <w:pPr>
        <w:spacing w:line="360" w:lineRule="auto"/>
        <w:ind w:left="2160" w:hanging="2160"/>
        <w:rPr>
          <w:rFonts w:ascii="Garamond" w:eastAsia="Garamond" w:hAnsi="Garamond" w:cs="Garamond"/>
          <w:color w:val="000000" w:themeColor="text1"/>
        </w:rPr>
      </w:pPr>
      <w:r w:rsidRPr="001869B5">
        <w:rPr>
          <w:rFonts w:ascii="Garamond" w:eastAsia="Garamond" w:hAnsi="Garamond" w:cs="Garamond"/>
          <w:color w:val="000000" w:themeColor="text1"/>
        </w:rPr>
        <w:t>Haynes, Gordon,</w:t>
      </w:r>
    </w:p>
    <w:p w14:paraId="6AF785FE" w14:textId="77777777" w:rsidR="00C74E17" w:rsidRPr="001869B5" w:rsidRDefault="00C74E17" w:rsidP="00C74E17">
      <w:pPr>
        <w:spacing w:line="360" w:lineRule="auto"/>
        <w:ind w:left="2160" w:hanging="2160"/>
        <w:rPr>
          <w:rFonts w:ascii="Garamond" w:eastAsia="Garamond" w:hAnsi="Garamond" w:cs="Garamond"/>
          <w:color w:val="000000" w:themeColor="text1"/>
        </w:rPr>
      </w:pPr>
      <w:proofErr w:type="spellStart"/>
      <w:r w:rsidRPr="001869B5">
        <w:rPr>
          <w:rFonts w:ascii="Garamond" w:eastAsia="Garamond" w:hAnsi="Garamond" w:cs="Garamond"/>
          <w:color w:val="000000" w:themeColor="text1"/>
        </w:rPr>
        <w:t>Ludwigs</w:t>
      </w:r>
      <w:proofErr w:type="spellEnd"/>
      <w:r w:rsidRPr="001869B5">
        <w:rPr>
          <w:rFonts w:ascii="Garamond" w:eastAsia="Garamond" w:hAnsi="Garamond" w:cs="Garamond"/>
          <w:color w:val="000000" w:themeColor="text1"/>
        </w:rPr>
        <w:t>, August,</w:t>
      </w:r>
    </w:p>
    <w:p w14:paraId="34DC42AE" w14:textId="77777777" w:rsidR="00C74E17" w:rsidRPr="001869B5" w:rsidRDefault="00C74E17" w:rsidP="00C74E17">
      <w:pPr>
        <w:spacing w:line="360" w:lineRule="auto"/>
        <w:ind w:left="2160" w:hanging="2160"/>
        <w:rPr>
          <w:rFonts w:ascii="Garamond" w:eastAsia="Garamond" w:hAnsi="Garamond" w:cs="Garamond"/>
          <w:color w:val="000000" w:themeColor="text1"/>
        </w:rPr>
      </w:pPr>
      <w:proofErr w:type="spellStart"/>
      <w:r w:rsidRPr="001869B5">
        <w:rPr>
          <w:rFonts w:ascii="Garamond" w:eastAsia="Garamond" w:hAnsi="Garamond" w:cs="Garamond"/>
          <w:color w:val="000000" w:themeColor="text1"/>
        </w:rPr>
        <w:t>Molto</w:t>
      </w:r>
      <w:proofErr w:type="spellEnd"/>
      <w:r w:rsidRPr="001869B5">
        <w:rPr>
          <w:rFonts w:ascii="Garamond" w:eastAsia="Garamond" w:hAnsi="Garamond" w:cs="Garamond"/>
          <w:color w:val="000000" w:themeColor="text1"/>
        </w:rPr>
        <w:t>, Daniel,</w:t>
      </w:r>
    </w:p>
    <w:p w14:paraId="00F6EC26" w14:textId="77777777" w:rsidR="00C74E17" w:rsidRPr="001869B5" w:rsidRDefault="00C74E17" w:rsidP="00C74E17">
      <w:pPr>
        <w:spacing w:line="360" w:lineRule="auto"/>
        <w:ind w:left="2160" w:hanging="2160"/>
        <w:rPr>
          <w:rFonts w:ascii="Garamond" w:eastAsia="Garamond" w:hAnsi="Garamond" w:cs="Garamond"/>
          <w:color w:val="000000" w:themeColor="text1"/>
        </w:rPr>
      </w:pPr>
      <w:proofErr w:type="spellStart"/>
      <w:r w:rsidRPr="001869B5">
        <w:rPr>
          <w:rFonts w:ascii="Garamond" w:eastAsia="Garamond" w:hAnsi="Garamond" w:cs="Garamond"/>
          <w:color w:val="000000" w:themeColor="text1"/>
        </w:rPr>
        <w:t>Tamburro</w:t>
      </w:r>
      <w:proofErr w:type="spellEnd"/>
      <w:r w:rsidRPr="001869B5">
        <w:rPr>
          <w:rFonts w:ascii="Garamond" w:eastAsia="Garamond" w:hAnsi="Garamond" w:cs="Garamond"/>
          <w:color w:val="000000" w:themeColor="text1"/>
        </w:rPr>
        <w:t>, Richard</w:t>
      </w:r>
    </w:p>
    <w:p w14:paraId="1BCE269A" w14:textId="77777777" w:rsidR="00C74E17" w:rsidRPr="001869B5" w:rsidRDefault="00C74E17" w:rsidP="00C74E17">
      <w:pPr>
        <w:spacing w:line="360" w:lineRule="auto"/>
        <w:ind w:left="2160" w:hanging="2160"/>
        <w:rPr>
          <w:rFonts w:ascii="Garamond" w:eastAsia="Garamond" w:hAnsi="Garamond" w:cs="Garamond"/>
          <w:color w:val="000000" w:themeColor="text1"/>
        </w:rPr>
      </w:pPr>
      <w:r w:rsidRPr="001869B5">
        <w:rPr>
          <w:rFonts w:ascii="Garamond" w:eastAsia="Garamond" w:hAnsi="Garamond" w:cs="Garamond"/>
          <w:color w:val="000000" w:themeColor="text1"/>
        </w:rPr>
        <w:t>and Warman, Jack.</w:t>
      </w:r>
    </w:p>
    <w:p w14:paraId="1589E923" w14:textId="136620F0" w:rsidR="00D9406D" w:rsidRPr="001869B5" w:rsidRDefault="00D9406D" w:rsidP="00D9406D">
      <w:pPr>
        <w:spacing w:line="360" w:lineRule="auto"/>
        <w:ind w:left="2160" w:hanging="2160"/>
        <w:rPr>
          <w:rFonts w:ascii="Garamond" w:hAnsi="Garamond"/>
        </w:rPr>
      </w:pPr>
      <w:r w:rsidRPr="001869B5">
        <w:rPr>
          <w:rFonts w:ascii="Garamond" w:hAnsi="Garamond"/>
        </w:rPr>
        <w:t xml:space="preserve">Code, Lorraine. </w:t>
      </w:r>
      <w:r w:rsidRPr="001869B5">
        <w:rPr>
          <w:rFonts w:ascii="Garamond" w:hAnsi="Garamond"/>
        </w:rPr>
        <w:tab/>
        <w:t>2015. ‘Taking Subjectivity in</w:t>
      </w:r>
      <w:r w:rsidR="00B44DA1">
        <w:rPr>
          <w:rFonts w:ascii="Garamond" w:hAnsi="Garamond"/>
        </w:rPr>
        <w:t>to Account’.</w:t>
      </w:r>
      <w:r w:rsidRPr="001869B5">
        <w:rPr>
          <w:rFonts w:ascii="Garamond" w:hAnsi="Garamond"/>
        </w:rPr>
        <w:t xml:space="preserve"> </w:t>
      </w:r>
      <w:r w:rsidR="00B44DA1" w:rsidRPr="001869B5">
        <w:rPr>
          <w:rFonts w:ascii="Garamond" w:hAnsi="Garamond"/>
        </w:rPr>
        <w:t>I</w:t>
      </w:r>
      <w:r w:rsidRPr="001869B5">
        <w:rPr>
          <w:rFonts w:ascii="Garamond" w:hAnsi="Garamond"/>
        </w:rPr>
        <w:t>n</w:t>
      </w:r>
      <w:r w:rsidR="00B44DA1">
        <w:rPr>
          <w:rFonts w:ascii="Garamond" w:hAnsi="Garamond"/>
          <w:i/>
        </w:rPr>
        <w:t xml:space="preserve"> </w:t>
      </w:r>
      <w:r w:rsidR="00B44DA1" w:rsidRPr="001869B5">
        <w:rPr>
          <w:rFonts w:ascii="Garamond" w:hAnsi="Garamond"/>
          <w:i/>
        </w:rPr>
        <w:t>Women</w:t>
      </w:r>
      <w:r w:rsidR="00B44DA1">
        <w:rPr>
          <w:rFonts w:ascii="Garamond" w:hAnsi="Garamond"/>
        </w:rPr>
        <w:t xml:space="preserve">, </w:t>
      </w:r>
      <w:r w:rsidRPr="001869B5">
        <w:rPr>
          <w:rFonts w:ascii="Garamond" w:hAnsi="Garamond"/>
          <w:i/>
        </w:rPr>
        <w:t>Knowledge, and Reality: Explorations in Feminist Philosophy</w:t>
      </w:r>
      <w:r w:rsidRPr="001869B5">
        <w:rPr>
          <w:rFonts w:ascii="Garamond" w:hAnsi="Garamond"/>
        </w:rPr>
        <w:t>, 2</w:t>
      </w:r>
      <w:r w:rsidRPr="001869B5">
        <w:rPr>
          <w:rFonts w:ascii="Garamond" w:hAnsi="Garamond"/>
          <w:vertAlign w:val="superscript"/>
        </w:rPr>
        <w:t>nd</w:t>
      </w:r>
      <w:r w:rsidR="00B44DA1">
        <w:rPr>
          <w:rFonts w:ascii="Garamond" w:hAnsi="Garamond"/>
        </w:rPr>
        <w:t xml:space="preserve"> edition, edited by Ann Garry and Marilyn Pearsall: 1</w:t>
      </w:r>
      <w:r w:rsidR="00B44DA1" w:rsidRPr="001869B5">
        <w:rPr>
          <w:rFonts w:ascii="Garamond" w:hAnsi="Garamond"/>
        </w:rPr>
        <w:t xml:space="preserve">91–221. </w:t>
      </w:r>
      <w:r w:rsidR="00B44DA1">
        <w:rPr>
          <w:rFonts w:ascii="Garamond" w:hAnsi="Garamond"/>
        </w:rPr>
        <w:t>(Routledge)</w:t>
      </w:r>
    </w:p>
    <w:p w14:paraId="7B801492" w14:textId="77777777" w:rsidR="00B44DA1" w:rsidRDefault="00D9406D" w:rsidP="00FA2E77">
      <w:pPr>
        <w:spacing w:line="360" w:lineRule="auto"/>
        <w:ind w:left="2160" w:hanging="2160"/>
        <w:rPr>
          <w:rFonts w:ascii="Garamond" w:hAnsi="Garamond"/>
        </w:rPr>
      </w:pPr>
      <w:proofErr w:type="spellStart"/>
      <w:r w:rsidRPr="001869B5">
        <w:rPr>
          <w:rFonts w:ascii="Garamond" w:hAnsi="Garamond"/>
        </w:rPr>
        <w:t>Conee</w:t>
      </w:r>
      <w:proofErr w:type="spellEnd"/>
      <w:r w:rsidRPr="001869B5">
        <w:rPr>
          <w:rFonts w:ascii="Garamond" w:hAnsi="Garamond"/>
        </w:rPr>
        <w:t>, Earl.</w:t>
      </w:r>
      <w:r w:rsidRPr="001869B5">
        <w:rPr>
          <w:rFonts w:ascii="Garamond" w:hAnsi="Garamond"/>
        </w:rPr>
        <w:tab/>
        <w:t>2004. ‘Phenomenal Knowledge’</w:t>
      </w:r>
      <w:r w:rsidR="00B44DA1">
        <w:rPr>
          <w:rFonts w:ascii="Garamond" w:hAnsi="Garamond"/>
        </w:rPr>
        <w:t>.</w:t>
      </w:r>
      <w:r w:rsidRPr="001869B5">
        <w:rPr>
          <w:rFonts w:ascii="Garamond" w:hAnsi="Garamond"/>
        </w:rPr>
        <w:t xml:space="preserve"> </w:t>
      </w:r>
      <w:r w:rsidRPr="001869B5">
        <w:rPr>
          <w:rFonts w:ascii="Garamond" w:hAnsi="Garamond"/>
          <w:i/>
        </w:rPr>
        <w:t xml:space="preserve">There’s Something About Mary: Essays on Phenomenal </w:t>
      </w:r>
      <w:proofErr w:type="spellStart"/>
      <w:r w:rsidRPr="001869B5">
        <w:rPr>
          <w:rFonts w:ascii="Garamond" w:hAnsi="Garamond"/>
          <w:i/>
        </w:rPr>
        <w:t>Consciosuness</w:t>
      </w:r>
      <w:proofErr w:type="spellEnd"/>
      <w:r w:rsidRPr="001869B5">
        <w:rPr>
          <w:rFonts w:ascii="Garamond" w:hAnsi="Garamond"/>
          <w:i/>
        </w:rPr>
        <w:t xml:space="preserve"> and Fra</w:t>
      </w:r>
      <w:r w:rsidR="00B44DA1">
        <w:rPr>
          <w:rFonts w:ascii="Garamond" w:hAnsi="Garamond"/>
          <w:i/>
        </w:rPr>
        <w:t xml:space="preserve">nk Jackson’s Knowledge Argument, </w:t>
      </w:r>
      <w:r w:rsidR="00B44DA1">
        <w:rPr>
          <w:rFonts w:ascii="Garamond" w:hAnsi="Garamond"/>
        </w:rPr>
        <w:t xml:space="preserve">edited by </w:t>
      </w:r>
    </w:p>
    <w:p w14:paraId="050E9390" w14:textId="07EABB41" w:rsidR="00D9406D" w:rsidRPr="001869B5" w:rsidRDefault="00B44DA1" w:rsidP="00B44DA1">
      <w:pPr>
        <w:spacing w:line="360" w:lineRule="auto"/>
        <w:ind w:left="1440" w:firstLine="720"/>
        <w:rPr>
          <w:rFonts w:ascii="Garamond" w:hAnsi="Garamond"/>
        </w:rPr>
      </w:pPr>
      <w:r w:rsidRPr="001869B5">
        <w:rPr>
          <w:rFonts w:ascii="Garamond" w:hAnsi="Garamond"/>
        </w:rPr>
        <w:t xml:space="preserve">Peter Ludlow, </w:t>
      </w:r>
      <w:proofErr w:type="spellStart"/>
      <w:r w:rsidRPr="001869B5">
        <w:rPr>
          <w:rFonts w:ascii="Garamond" w:hAnsi="Garamond"/>
        </w:rPr>
        <w:t>Yujin</w:t>
      </w:r>
      <w:proofErr w:type="spellEnd"/>
      <w:r w:rsidRPr="001869B5">
        <w:rPr>
          <w:rFonts w:ascii="Garamond" w:hAnsi="Garamond"/>
        </w:rPr>
        <w:t xml:space="preserve"> Nagasawa and D</w:t>
      </w:r>
      <w:r>
        <w:rPr>
          <w:rFonts w:ascii="Garamond" w:hAnsi="Garamond"/>
        </w:rPr>
        <w:t xml:space="preserve">aniel </w:t>
      </w:r>
      <w:proofErr w:type="spellStart"/>
      <w:r>
        <w:rPr>
          <w:rFonts w:ascii="Garamond" w:hAnsi="Garamond"/>
        </w:rPr>
        <w:t>Stoljar</w:t>
      </w:r>
      <w:proofErr w:type="spellEnd"/>
      <w:r>
        <w:rPr>
          <w:rFonts w:ascii="Garamond" w:hAnsi="Garamond"/>
        </w:rPr>
        <w:t>.</w:t>
      </w:r>
      <w:r w:rsidRPr="001869B5">
        <w:rPr>
          <w:rFonts w:ascii="Garamond" w:hAnsi="Garamond"/>
        </w:rPr>
        <w:t xml:space="preserve"> </w:t>
      </w:r>
      <w:r w:rsidR="00FA2E77" w:rsidRPr="001869B5">
        <w:rPr>
          <w:rFonts w:ascii="Garamond" w:hAnsi="Garamond"/>
        </w:rPr>
        <w:t>(MIT Press)</w:t>
      </w:r>
      <w:r>
        <w:rPr>
          <w:rFonts w:ascii="Garamond" w:hAnsi="Garamond"/>
        </w:rPr>
        <w:t>.</w:t>
      </w:r>
    </w:p>
    <w:p w14:paraId="75C8058D" w14:textId="77777777" w:rsidR="00D9406D" w:rsidRPr="001869B5" w:rsidRDefault="00D9406D" w:rsidP="009D272B">
      <w:pPr>
        <w:spacing w:line="360" w:lineRule="auto"/>
        <w:rPr>
          <w:rFonts w:ascii="Garamond" w:hAnsi="Garamond"/>
        </w:rPr>
      </w:pPr>
    </w:p>
    <w:p w14:paraId="2B7E4025" w14:textId="1B3FB323" w:rsidR="00C74E17" w:rsidRPr="001869B5" w:rsidRDefault="009D272B" w:rsidP="009D272B">
      <w:pPr>
        <w:spacing w:line="360" w:lineRule="auto"/>
        <w:rPr>
          <w:rFonts w:ascii="Garamond" w:hAnsi="Garamond"/>
        </w:rPr>
      </w:pPr>
      <w:r w:rsidRPr="001869B5">
        <w:rPr>
          <w:rFonts w:ascii="Garamond" w:hAnsi="Garamond"/>
        </w:rPr>
        <w:t>Cuneo, Terence</w:t>
      </w:r>
      <w:r w:rsidRPr="001869B5">
        <w:rPr>
          <w:rFonts w:ascii="Garamond" w:hAnsi="Garamond"/>
        </w:rPr>
        <w:tab/>
      </w:r>
      <w:r w:rsidR="00C74E17" w:rsidRPr="001869B5">
        <w:rPr>
          <w:rFonts w:ascii="Garamond" w:hAnsi="Garamond"/>
        </w:rPr>
        <w:t xml:space="preserve">2016. </w:t>
      </w:r>
      <w:r w:rsidR="00C74E17" w:rsidRPr="001869B5">
        <w:rPr>
          <w:rFonts w:ascii="Garamond" w:hAnsi="Garamond"/>
          <w:i/>
        </w:rPr>
        <w:t xml:space="preserve">Ritualized Faith. </w:t>
      </w:r>
      <w:r w:rsidR="00C74E17" w:rsidRPr="001869B5">
        <w:rPr>
          <w:rFonts w:ascii="Garamond" w:hAnsi="Garamond"/>
        </w:rPr>
        <w:t xml:space="preserve">(Oxford University Press). </w:t>
      </w:r>
    </w:p>
    <w:p w14:paraId="256F9C84" w14:textId="0431E44B" w:rsidR="00C74E17" w:rsidRPr="001869B5" w:rsidRDefault="00C74E17" w:rsidP="00C74E17">
      <w:pPr>
        <w:autoSpaceDE w:val="0"/>
        <w:autoSpaceDN w:val="0"/>
        <w:adjustRightInd w:val="0"/>
        <w:ind w:left="2160" w:hanging="2160"/>
        <w:rPr>
          <w:rFonts w:ascii="Garamond" w:hAnsi="Garamond"/>
          <w:lang w:val="en-US"/>
        </w:rPr>
      </w:pPr>
      <w:r w:rsidRPr="001869B5">
        <w:rPr>
          <w:rFonts w:ascii="Garamond" w:hAnsi="Garamond"/>
          <w:lang w:val="en-US"/>
        </w:rPr>
        <w:t xml:space="preserve">Elian, Naomi; </w:t>
      </w:r>
      <w:r w:rsidRPr="001869B5">
        <w:rPr>
          <w:rFonts w:ascii="Garamond" w:hAnsi="Garamond"/>
          <w:lang w:val="en-US"/>
        </w:rPr>
        <w:tab/>
        <w:t xml:space="preserve">2005. </w:t>
      </w:r>
      <w:r w:rsidRPr="001869B5">
        <w:rPr>
          <w:rFonts w:ascii="Garamond" w:hAnsi="Garamond"/>
          <w:i/>
          <w:lang w:val="en-US"/>
        </w:rPr>
        <w:t xml:space="preserve">Joint Attention: Communication and Other Minds. </w:t>
      </w:r>
      <w:r w:rsidR="00B44DA1">
        <w:rPr>
          <w:rFonts w:ascii="Garamond" w:hAnsi="Garamond"/>
          <w:lang w:val="en-US"/>
        </w:rPr>
        <w:t>(</w:t>
      </w:r>
      <w:r w:rsidRPr="001869B5">
        <w:rPr>
          <w:rFonts w:ascii="Garamond" w:hAnsi="Garamond"/>
          <w:lang w:val="en-US"/>
        </w:rPr>
        <w:t>Clarendon Press</w:t>
      </w:r>
      <w:r w:rsidR="00B44DA1">
        <w:rPr>
          <w:rFonts w:ascii="Garamond" w:hAnsi="Garamond"/>
          <w:lang w:val="en-US"/>
        </w:rPr>
        <w:t>)</w:t>
      </w:r>
      <w:r w:rsidRPr="001869B5">
        <w:rPr>
          <w:rFonts w:ascii="Garamond" w:hAnsi="Garamond"/>
          <w:lang w:val="en-US"/>
        </w:rPr>
        <w:t>.</w:t>
      </w:r>
    </w:p>
    <w:p w14:paraId="45D43BF6" w14:textId="77777777" w:rsidR="00C74E17" w:rsidRPr="001869B5" w:rsidRDefault="00C74E17" w:rsidP="00C74E17">
      <w:pPr>
        <w:autoSpaceDE w:val="0"/>
        <w:autoSpaceDN w:val="0"/>
        <w:adjustRightInd w:val="0"/>
        <w:ind w:left="2160" w:hanging="2160"/>
        <w:rPr>
          <w:rFonts w:ascii="Garamond" w:hAnsi="Garamond"/>
          <w:lang w:val="en-US"/>
        </w:rPr>
      </w:pPr>
      <w:proofErr w:type="spellStart"/>
      <w:r w:rsidRPr="001869B5">
        <w:rPr>
          <w:rFonts w:ascii="Garamond" w:hAnsi="Garamond"/>
          <w:lang w:val="en-US"/>
        </w:rPr>
        <w:t>Hoerl</w:t>
      </w:r>
      <w:proofErr w:type="spellEnd"/>
      <w:r w:rsidRPr="001869B5">
        <w:rPr>
          <w:rFonts w:ascii="Garamond" w:hAnsi="Garamond"/>
          <w:lang w:val="en-US"/>
        </w:rPr>
        <w:t xml:space="preserve">, </w:t>
      </w:r>
      <w:proofErr w:type="spellStart"/>
      <w:r w:rsidRPr="001869B5">
        <w:rPr>
          <w:rFonts w:ascii="Garamond" w:hAnsi="Garamond"/>
          <w:lang w:val="en-US"/>
        </w:rPr>
        <w:t>Chrisoph</w:t>
      </w:r>
      <w:proofErr w:type="spellEnd"/>
      <w:r w:rsidRPr="001869B5">
        <w:rPr>
          <w:rFonts w:ascii="Garamond" w:hAnsi="Garamond"/>
          <w:lang w:val="en-US"/>
        </w:rPr>
        <w:t xml:space="preserve">; </w:t>
      </w:r>
    </w:p>
    <w:p w14:paraId="7A0D1532" w14:textId="77777777" w:rsidR="00C74E17" w:rsidRPr="001869B5" w:rsidRDefault="00C74E17" w:rsidP="00C74E17">
      <w:pPr>
        <w:autoSpaceDE w:val="0"/>
        <w:autoSpaceDN w:val="0"/>
        <w:adjustRightInd w:val="0"/>
        <w:ind w:left="2160" w:hanging="2160"/>
        <w:rPr>
          <w:rFonts w:ascii="Garamond" w:hAnsi="Garamond"/>
          <w:lang w:val="en-US"/>
        </w:rPr>
      </w:pPr>
      <w:r w:rsidRPr="001869B5">
        <w:rPr>
          <w:rFonts w:ascii="Garamond" w:hAnsi="Garamond"/>
          <w:lang w:val="en-US"/>
        </w:rPr>
        <w:t xml:space="preserve">McCormack, Teresa; </w:t>
      </w:r>
    </w:p>
    <w:p w14:paraId="62F30E48" w14:textId="77777777" w:rsidR="00C74E17" w:rsidRPr="001869B5" w:rsidRDefault="00C74E17" w:rsidP="00C74E17">
      <w:pPr>
        <w:autoSpaceDE w:val="0"/>
        <w:autoSpaceDN w:val="0"/>
        <w:adjustRightInd w:val="0"/>
        <w:ind w:left="2160" w:hanging="2160"/>
        <w:rPr>
          <w:rFonts w:ascii="Garamond" w:hAnsi="Garamond"/>
          <w:lang w:val="en-US"/>
        </w:rPr>
      </w:pPr>
      <w:r w:rsidRPr="001869B5">
        <w:rPr>
          <w:rFonts w:ascii="Garamond" w:hAnsi="Garamond"/>
          <w:lang w:val="en-US"/>
        </w:rPr>
        <w:t xml:space="preserve">and Roessler, Teresa </w:t>
      </w:r>
    </w:p>
    <w:p w14:paraId="2177C862" w14:textId="77777777" w:rsidR="00C74E17" w:rsidRPr="001869B5" w:rsidRDefault="00C74E17" w:rsidP="00C74E17">
      <w:pPr>
        <w:autoSpaceDE w:val="0"/>
        <w:autoSpaceDN w:val="0"/>
        <w:adjustRightInd w:val="0"/>
        <w:ind w:left="2160" w:hanging="2160"/>
        <w:rPr>
          <w:rFonts w:ascii="Garamond" w:hAnsi="Garamond"/>
          <w:lang w:val="en-US"/>
        </w:rPr>
      </w:pPr>
      <w:r w:rsidRPr="001869B5">
        <w:rPr>
          <w:rFonts w:ascii="Garamond" w:hAnsi="Garamond"/>
          <w:lang w:val="en-US"/>
        </w:rPr>
        <w:t>(eds.).</w:t>
      </w:r>
    </w:p>
    <w:p w14:paraId="3EC1C8FF" w14:textId="6827F6E0" w:rsidR="00903846" w:rsidRDefault="00903846" w:rsidP="00C74E17">
      <w:pPr>
        <w:spacing w:line="360" w:lineRule="auto"/>
        <w:rPr>
          <w:rFonts w:ascii="Garamond" w:hAnsi="Garamond"/>
          <w:color w:val="000000" w:themeColor="text1"/>
        </w:rPr>
      </w:pPr>
    </w:p>
    <w:p w14:paraId="2DF34197" w14:textId="77777777" w:rsidR="00903846" w:rsidRPr="00903846" w:rsidRDefault="00903846" w:rsidP="00903846">
      <w:pPr>
        <w:rPr>
          <w:rFonts w:ascii="Garamond" w:eastAsia="Times New Roman" w:hAnsi="Garamond" w:cs="Arial"/>
          <w:color w:val="222222"/>
          <w:shd w:val="clear" w:color="auto" w:fill="FFFFFF"/>
        </w:rPr>
      </w:pPr>
      <w:r w:rsidRPr="00903846">
        <w:rPr>
          <w:rFonts w:ascii="Garamond" w:eastAsia="Times New Roman" w:hAnsi="Garamond" w:cs="Arial"/>
          <w:color w:val="222222"/>
          <w:shd w:val="clear" w:color="auto" w:fill="FFFFFF"/>
        </w:rPr>
        <w:t>Green, Adam.</w:t>
      </w:r>
      <w:r w:rsidRPr="00903846">
        <w:rPr>
          <w:rFonts w:ascii="Garamond" w:eastAsia="Times New Roman" w:hAnsi="Garamond" w:cs="Arial"/>
          <w:color w:val="222222"/>
          <w:shd w:val="clear" w:color="auto" w:fill="FFFFFF"/>
        </w:rPr>
        <w:tab/>
      </w:r>
      <w:r w:rsidRPr="00903846">
        <w:rPr>
          <w:rFonts w:ascii="Garamond" w:eastAsia="Times New Roman" w:hAnsi="Garamond" w:cs="Arial"/>
          <w:color w:val="222222"/>
          <w:shd w:val="clear" w:color="auto" w:fill="FFFFFF"/>
        </w:rPr>
        <w:tab/>
        <w:t xml:space="preserve">2009 ‘Reading the mind of God (without Hebrew lessons): Alston, shared </w:t>
      </w:r>
    </w:p>
    <w:p w14:paraId="63599C15" w14:textId="3CEB67A0" w:rsidR="00903846" w:rsidRPr="00903846" w:rsidRDefault="00903846" w:rsidP="00903846">
      <w:pPr>
        <w:ind w:left="2160"/>
        <w:rPr>
          <w:rFonts w:ascii="Garamond" w:eastAsia="Times New Roman" w:hAnsi="Garamond" w:cs="Times New Roman"/>
        </w:rPr>
      </w:pPr>
      <w:r w:rsidRPr="00903846">
        <w:rPr>
          <w:rFonts w:ascii="Garamond" w:eastAsia="Times New Roman" w:hAnsi="Garamond" w:cs="Arial"/>
          <w:color w:val="222222"/>
          <w:shd w:val="clear" w:color="auto" w:fill="FFFFFF"/>
        </w:rPr>
        <w:t>attention, and mystical experience." </w:t>
      </w:r>
      <w:r w:rsidRPr="00903846">
        <w:rPr>
          <w:rFonts w:ascii="Garamond" w:eastAsia="Times New Roman" w:hAnsi="Garamond" w:cs="Arial"/>
          <w:i/>
          <w:iCs/>
          <w:color w:val="222222"/>
          <w:shd w:val="clear" w:color="auto" w:fill="FFFFFF"/>
        </w:rPr>
        <w:t>Religious Studies</w:t>
      </w:r>
      <w:r w:rsidRPr="00903846">
        <w:rPr>
          <w:rFonts w:ascii="Garamond" w:eastAsia="Times New Roman" w:hAnsi="Garamond" w:cs="Arial"/>
          <w:color w:val="222222"/>
          <w:shd w:val="clear" w:color="auto" w:fill="FFFFFF"/>
        </w:rPr>
        <w:t> 45, no. 4 (2009): 455-470.</w:t>
      </w:r>
    </w:p>
    <w:p w14:paraId="6CE5C8CD" w14:textId="6036D1FB" w:rsidR="00903846" w:rsidRPr="00903846" w:rsidRDefault="00903846" w:rsidP="00C74E17">
      <w:pPr>
        <w:spacing w:line="360" w:lineRule="auto"/>
        <w:rPr>
          <w:rFonts w:ascii="Garamond" w:hAnsi="Garamond"/>
          <w:color w:val="000000" w:themeColor="text1"/>
        </w:rPr>
      </w:pPr>
    </w:p>
    <w:p w14:paraId="76374418" w14:textId="074493C6" w:rsidR="00C74E17" w:rsidRPr="001869B5" w:rsidRDefault="00C74E17" w:rsidP="00C74E17">
      <w:pPr>
        <w:spacing w:line="360" w:lineRule="auto"/>
        <w:rPr>
          <w:rFonts w:ascii="Garamond" w:hAnsi="Garamond"/>
          <w:color w:val="000000" w:themeColor="text1"/>
        </w:rPr>
      </w:pPr>
      <w:r w:rsidRPr="001869B5">
        <w:rPr>
          <w:rFonts w:ascii="Garamond" w:hAnsi="Garamond"/>
          <w:color w:val="000000" w:themeColor="text1"/>
        </w:rPr>
        <w:t>Green, Adam and</w:t>
      </w:r>
      <w:r w:rsidRPr="001869B5">
        <w:rPr>
          <w:rFonts w:ascii="Garamond" w:hAnsi="Garamond"/>
          <w:color w:val="000000" w:themeColor="text1"/>
        </w:rPr>
        <w:tab/>
        <w:t xml:space="preserve">2012. </w:t>
      </w:r>
      <w:r w:rsidRPr="001869B5">
        <w:rPr>
          <w:rFonts w:ascii="Garamond" w:hAnsi="Garamond" w:cs="Arial"/>
          <w:color w:val="000000" w:themeColor="text1"/>
        </w:rPr>
        <w:t xml:space="preserve">‘More than Inspired Propositions: Shared Attention and the </w:t>
      </w:r>
    </w:p>
    <w:p w14:paraId="413C3C83" w14:textId="20DAD140" w:rsidR="00C74E17" w:rsidRPr="001869B5" w:rsidRDefault="00C74E17" w:rsidP="00C74E17">
      <w:pPr>
        <w:spacing w:line="360" w:lineRule="auto"/>
        <w:rPr>
          <w:rFonts w:ascii="Garamond" w:hAnsi="Garamond"/>
          <w:color w:val="000000" w:themeColor="text1"/>
        </w:rPr>
      </w:pPr>
      <w:r w:rsidRPr="001869B5">
        <w:rPr>
          <w:rFonts w:ascii="Garamond" w:hAnsi="Garamond"/>
          <w:color w:val="000000" w:themeColor="text1"/>
        </w:rPr>
        <w:t>Quan, Keith.</w:t>
      </w:r>
      <w:r w:rsidRPr="001869B5">
        <w:rPr>
          <w:rFonts w:ascii="Garamond" w:hAnsi="Garamond"/>
          <w:color w:val="000000" w:themeColor="text1"/>
        </w:rPr>
        <w:tab/>
      </w:r>
      <w:r w:rsidRPr="001869B5">
        <w:rPr>
          <w:rFonts w:ascii="Garamond" w:hAnsi="Garamond"/>
          <w:color w:val="000000" w:themeColor="text1"/>
        </w:rPr>
        <w:tab/>
      </w:r>
      <w:r w:rsidRPr="001869B5">
        <w:rPr>
          <w:rFonts w:ascii="Garamond" w:hAnsi="Garamond" w:cs="Arial"/>
          <w:color w:val="000000" w:themeColor="text1"/>
        </w:rPr>
        <w:t xml:space="preserve">Religious Text.’ </w:t>
      </w:r>
      <w:r w:rsidRPr="001869B5">
        <w:rPr>
          <w:rFonts w:ascii="Garamond" w:hAnsi="Garamond" w:cs="Arial"/>
          <w:i/>
          <w:iCs/>
          <w:color w:val="000000" w:themeColor="text1"/>
        </w:rPr>
        <w:t>Faith and Philosophy</w:t>
      </w:r>
      <w:r w:rsidR="00B44DA1">
        <w:rPr>
          <w:rFonts w:ascii="Garamond" w:hAnsi="Garamond" w:cs="Arial"/>
          <w:color w:val="000000" w:themeColor="text1"/>
        </w:rPr>
        <w:t> 29, no. 4</w:t>
      </w:r>
      <w:r w:rsidRPr="001869B5">
        <w:rPr>
          <w:rFonts w:ascii="Garamond" w:hAnsi="Garamond" w:cs="Arial"/>
          <w:color w:val="000000" w:themeColor="text1"/>
        </w:rPr>
        <w:t>: 416-430.</w:t>
      </w:r>
    </w:p>
    <w:p w14:paraId="0ACBC707" w14:textId="77777777" w:rsidR="009D272B" w:rsidRPr="001869B5" w:rsidRDefault="009D272B" w:rsidP="00C74E17">
      <w:pPr>
        <w:ind w:left="2160" w:hanging="2160"/>
        <w:rPr>
          <w:rFonts w:ascii="Garamond" w:hAnsi="Garamond"/>
          <w:color w:val="000000" w:themeColor="text1"/>
        </w:rPr>
      </w:pPr>
    </w:p>
    <w:p w14:paraId="36F83949" w14:textId="48E1AE39" w:rsidR="00750007" w:rsidRDefault="009F4034" w:rsidP="00B44DA1">
      <w:pPr>
        <w:autoSpaceDE w:val="0"/>
        <w:autoSpaceDN w:val="0"/>
        <w:adjustRightInd w:val="0"/>
        <w:ind w:left="1440" w:hanging="1440"/>
        <w:rPr>
          <w:rFonts w:ascii="Garamond" w:hAnsi="Garamond" w:cs="Times New Roman"/>
          <w:lang w:val="en-US"/>
        </w:rPr>
      </w:pPr>
      <w:r w:rsidRPr="001869B5">
        <w:rPr>
          <w:rFonts w:ascii="Garamond" w:hAnsi="Garamond"/>
        </w:rPr>
        <w:t>Jackson, Frank.</w:t>
      </w:r>
      <w:r w:rsidRPr="001869B5">
        <w:rPr>
          <w:rFonts w:ascii="Garamond" w:hAnsi="Garamond"/>
        </w:rPr>
        <w:tab/>
      </w:r>
      <w:r w:rsidR="001869B5" w:rsidRPr="001869B5">
        <w:rPr>
          <w:rFonts w:ascii="Garamond" w:hAnsi="Garamond"/>
        </w:rPr>
        <w:tab/>
      </w:r>
      <w:r w:rsidRPr="001869B5">
        <w:rPr>
          <w:rFonts w:ascii="Garamond" w:hAnsi="Garamond"/>
        </w:rPr>
        <w:t>1988</w:t>
      </w:r>
      <w:r w:rsidR="001869B5" w:rsidRPr="001869B5">
        <w:rPr>
          <w:rFonts w:ascii="Garamond" w:hAnsi="Garamond"/>
        </w:rPr>
        <w:t xml:space="preserve">. </w:t>
      </w:r>
      <w:r w:rsidR="00B44DA1">
        <w:rPr>
          <w:rFonts w:ascii="Garamond" w:hAnsi="Garamond" w:cs="Times New Roman"/>
          <w:lang w:val="en-US"/>
        </w:rPr>
        <w:t xml:space="preserve">‘Epiphenomenal Qualia’. </w:t>
      </w:r>
      <w:r w:rsidR="001869B5" w:rsidRPr="00B44DA1">
        <w:rPr>
          <w:rFonts w:ascii="Garamond" w:hAnsi="Garamond" w:cs="Times New Roman"/>
          <w:i/>
          <w:lang w:val="en-US"/>
        </w:rPr>
        <w:t>Philosophical Quarterly</w:t>
      </w:r>
      <w:r w:rsidR="00B44DA1">
        <w:rPr>
          <w:rFonts w:ascii="Garamond" w:hAnsi="Garamond" w:cs="Times New Roman"/>
          <w:lang w:val="en-US"/>
        </w:rPr>
        <w:t xml:space="preserve">. 32: </w:t>
      </w:r>
      <w:r w:rsidR="001869B5" w:rsidRPr="001869B5">
        <w:rPr>
          <w:rFonts w:ascii="Garamond" w:hAnsi="Garamond" w:cs="Times New Roman"/>
          <w:lang w:val="en-US"/>
        </w:rPr>
        <w:t xml:space="preserve">127-36. </w:t>
      </w:r>
    </w:p>
    <w:p w14:paraId="246D6BC0" w14:textId="77777777" w:rsidR="00B44DA1" w:rsidRDefault="00B44DA1" w:rsidP="00B44DA1">
      <w:pPr>
        <w:autoSpaceDE w:val="0"/>
        <w:autoSpaceDN w:val="0"/>
        <w:adjustRightInd w:val="0"/>
        <w:ind w:left="1440" w:hanging="1440"/>
        <w:rPr>
          <w:rFonts w:ascii="Garamond" w:hAnsi="Garamond"/>
        </w:rPr>
      </w:pPr>
    </w:p>
    <w:p w14:paraId="76FFF431" w14:textId="7D4FEBC6" w:rsidR="009D272B" w:rsidRDefault="009D272B" w:rsidP="009D272B">
      <w:pPr>
        <w:pStyle w:val="CommentText"/>
        <w:ind w:left="2160" w:hanging="2160"/>
        <w:rPr>
          <w:rFonts w:ascii="Garamond" w:hAnsi="Garamond"/>
          <w:sz w:val="24"/>
          <w:szCs w:val="24"/>
        </w:rPr>
      </w:pPr>
      <w:r w:rsidRPr="001869B5">
        <w:rPr>
          <w:rFonts w:ascii="Garamond" w:hAnsi="Garamond"/>
          <w:sz w:val="24"/>
          <w:szCs w:val="24"/>
        </w:rPr>
        <w:lastRenderedPageBreak/>
        <w:t>Lauer, David</w:t>
      </w:r>
      <w:r w:rsidR="00D9406D" w:rsidRPr="001869B5">
        <w:rPr>
          <w:rFonts w:ascii="Garamond" w:hAnsi="Garamond"/>
          <w:sz w:val="24"/>
          <w:szCs w:val="24"/>
        </w:rPr>
        <w:t>.</w:t>
      </w:r>
      <w:r w:rsidRPr="001869B5">
        <w:rPr>
          <w:rFonts w:ascii="Garamond" w:hAnsi="Garamond"/>
          <w:sz w:val="24"/>
          <w:szCs w:val="24"/>
        </w:rPr>
        <w:tab/>
        <w:t>2014</w:t>
      </w:r>
      <w:r w:rsidR="00B44DA1">
        <w:rPr>
          <w:rFonts w:ascii="Garamond" w:hAnsi="Garamond"/>
          <w:sz w:val="24"/>
          <w:szCs w:val="24"/>
        </w:rPr>
        <w:t>. ‘What Is It to Know Someone?’.</w:t>
      </w:r>
      <w:r w:rsidRPr="001869B5">
        <w:rPr>
          <w:rFonts w:ascii="Garamond" w:hAnsi="Garamond"/>
          <w:sz w:val="24"/>
          <w:szCs w:val="24"/>
        </w:rPr>
        <w:t xml:space="preserve"> </w:t>
      </w:r>
      <w:r w:rsidRPr="001869B5">
        <w:rPr>
          <w:rFonts w:ascii="Garamond" w:hAnsi="Garamond"/>
          <w:i/>
          <w:sz w:val="24"/>
          <w:szCs w:val="24"/>
        </w:rPr>
        <w:t>Philosophical Topics</w:t>
      </w:r>
      <w:r w:rsidR="00B44DA1">
        <w:rPr>
          <w:rFonts w:ascii="Garamond" w:hAnsi="Garamond"/>
          <w:sz w:val="24"/>
          <w:szCs w:val="24"/>
        </w:rPr>
        <w:t xml:space="preserve">. </w:t>
      </w:r>
      <w:proofErr w:type="gramStart"/>
      <w:r w:rsidR="00B44DA1">
        <w:rPr>
          <w:rFonts w:ascii="Garamond" w:hAnsi="Garamond"/>
          <w:sz w:val="24"/>
          <w:szCs w:val="24"/>
        </w:rPr>
        <w:t xml:space="preserve">42 </w:t>
      </w:r>
      <w:r w:rsidRPr="001869B5">
        <w:rPr>
          <w:rFonts w:ascii="Garamond" w:hAnsi="Garamond"/>
          <w:sz w:val="24"/>
          <w:szCs w:val="24"/>
        </w:rPr>
        <w:t>:</w:t>
      </w:r>
      <w:proofErr w:type="gramEnd"/>
      <w:r w:rsidRPr="001869B5">
        <w:rPr>
          <w:rFonts w:ascii="Garamond" w:hAnsi="Garamond"/>
          <w:sz w:val="24"/>
          <w:szCs w:val="24"/>
        </w:rPr>
        <w:t xml:space="preserve"> 321–344.</w:t>
      </w:r>
    </w:p>
    <w:p w14:paraId="3DD45A41" w14:textId="169733E0" w:rsidR="00750007" w:rsidRDefault="00750007" w:rsidP="009D272B">
      <w:pPr>
        <w:pStyle w:val="CommentText"/>
        <w:ind w:left="2160" w:hanging="2160"/>
        <w:rPr>
          <w:rFonts w:ascii="Garamond" w:hAnsi="Garamond"/>
          <w:sz w:val="24"/>
          <w:szCs w:val="24"/>
        </w:rPr>
      </w:pPr>
    </w:p>
    <w:p w14:paraId="4466ED59" w14:textId="328E9115" w:rsidR="00B40A81" w:rsidRDefault="00750007" w:rsidP="009D272B">
      <w:pPr>
        <w:pStyle w:val="CommentText"/>
        <w:ind w:left="2160" w:hanging="2160"/>
        <w:rPr>
          <w:rFonts w:ascii="Garamond" w:hAnsi="Garamond"/>
          <w:sz w:val="24"/>
          <w:szCs w:val="24"/>
        </w:rPr>
      </w:pPr>
      <w:r>
        <w:rPr>
          <w:rFonts w:ascii="Garamond" w:hAnsi="Garamond"/>
          <w:sz w:val="24"/>
          <w:szCs w:val="24"/>
        </w:rPr>
        <w:t xml:space="preserve">Johnson, </w:t>
      </w:r>
      <w:proofErr w:type="spellStart"/>
      <w:r>
        <w:rPr>
          <w:rFonts w:ascii="Garamond" w:hAnsi="Garamond"/>
          <w:sz w:val="24"/>
          <w:szCs w:val="24"/>
        </w:rPr>
        <w:t>Dru</w:t>
      </w:r>
      <w:proofErr w:type="spellEnd"/>
      <w:r>
        <w:rPr>
          <w:rFonts w:ascii="Garamond" w:hAnsi="Garamond"/>
          <w:sz w:val="24"/>
          <w:szCs w:val="24"/>
        </w:rPr>
        <w:t xml:space="preserve">. </w:t>
      </w:r>
      <w:r>
        <w:rPr>
          <w:rFonts w:ascii="Garamond" w:hAnsi="Garamond"/>
          <w:sz w:val="24"/>
          <w:szCs w:val="24"/>
        </w:rPr>
        <w:tab/>
        <w:t xml:space="preserve">2018. </w:t>
      </w:r>
      <w:r w:rsidR="00B40A81">
        <w:rPr>
          <w:rFonts w:ascii="Garamond" w:hAnsi="Garamond"/>
          <w:i/>
          <w:sz w:val="24"/>
          <w:szCs w:val="24"/>
        </w:rPr>
        <w:t xml:space="preserve">Epistemology and Biblical </w:t>
      </w:r>
      <w:r w:rsidR="00485AB8">
        <w:rPr>
          <w:rFonts w:ascii="Garamond" w:hAnsi="Garamond"/>
          <w:i/>
          <w:sz w:val="24"/>
          <w:szCs w:val="24"/>
        </w:rPr>
        <w:t>Theology</w:t>
      </w:r>
      <w:r w:rsidR="00B40A81">
        <w:rPr>
          <w:rFonts w:ascii="Garamond" w:hAnsi="Garamond"/>
          <w:i/>
          <w:sz w:val="24"/>
          <w:szCs w:val="24"/>
        </w:rPr>
        <w:t xml:space="preserve">: from the Pentateuch to Mark’s Gospel. </w:t>
      </w:r>
      <w:r w:rsidR="00B44DA1">
        <w:rPr>
          <w:rFonts w:ascii="Garamond" w:hAnsi="Garamond"/>
          <w:sz w:val="24"/>
          <w:szCs w:val="24"/>
        </w:rPr>
        <w:t>(</w:t>
      </w:r>
      <w:r w:rsidR="00B40A81">
        <w:rPr>
          <w:rFonts w:ascii="Garamond" w:hAnsi="Garamond"/>
          <w:sz w:val="24"/>
          <w:szCs w:val="24"/>
        </w:rPr>
        <w:t>Routledge</w:t>
      </w:r>
      <w:r w:rsidR="00B44DA1">
        <w:rPr>
          <w:rFonts w:ascii="Garamond" w:hAnsi="Garamond"/>
          <w:sz w:val="24"/>
          <w:szCs w:val="24"/>
        </w:rPr>
        <w:t>)</w:t>
      </w:r>
      <w:r w:rsidR="00B40A81">
        <w:rPr>
          <w:rFonts w:ascii="Garamond" w:hAnsi="Garamond"/>
          <w:sz w:val="24"/>
          <w:szCs w:val="24"/>
        </w:rPr>
        <w:t xml:space="preserve">. </w:t>
      </w:r>
    </w:p>
    <w:p w14:paraId="41ADDE0F" w14:textId="70105CEC" w:rsidR="00750007" w:rsidRPr="001869B5" w:rsidRDefault="00B40A81" w:rsidP="009D272B">
      <w:pPr>
        <w:pStyle w:val="CommentText"/>
        <w:ind w:left="2160" w:hanging="2160"/>
        <w:rPr>
          <w:rFonts w:ascii="Garamond" w:hAnsi="Garamond"/>
          <w:sz w:val="24"/>
          <w:szCs w:val="24"/>
        </w:rPr>
      </w:pPr>
      <w:r>
        <w:rPr>
          <w:rFonts w:ascii="Garamond" w:hAnsi="Garamond"/>
          <w:sz w:val="24"/>
          <w:szCs w:val="24"/>
        </w:rPr>
        <w:tab/>
        <w:t xml:space="preserve">2016 </w:t>
      </w:r>
      <w:r>
        <w:rPr>
          <w:rFonts w:ascii="Garamond" w:hAnsi="Garamond"/>
          <w:i/>
          <w:sz w:val="24"/>
          <w:szCs w:val="24"/>
        </w:rPr>
        <w:t xml:space="preserve">Knowledge by Ritual: a biblical prolegomenon to sacramental theology. </w:t>
      </w:r>
      <w:r w:rsidR="00B44DA1">
        <w:rPr>
          <w:rFonts w:ascii="Garamond" w:hAnsi="Garamond"/>
          <w:sz w:val="24"/>
          <w:szCs w:val="24"/>
        </w:rPr>
        <w:t>(</w:t>
      </w:r>
      <w:proofErr w:type="spellStart"/>
      <w:r>
        <w:rPr>
          <w:rFonts w:ascii="Garamond" w:hAnsi="Garamond"/>
          <w:sz w:val="24"/>
          <w:szCs w:val="24"/>
        </w:rPr>
        <w:t>Eisenbrauns</w:t>
      </w:r>
      <w:proofErr w:type="spellEnd"/>
      <w:r w:rsidR="00B44DA1">
        <w:rPr>
          <w:rFonts w:ascii="Garamond" w:hAnsi="Garamond"/>
          <w:sz w:val="24"/>
          <w:szCs w:val="24"/>
        </w:rPr>
        <w:t>)</w:t>
      </w:r>
      <w:r>
        <w:rPr>
          <w:rFonts w:ascii="Garamond" w:hAnsi="Garamond"/>
          <w:sz w:val="24"/>
          <w:szCs w:val="24"/>
        </w:rPr>
        <w:t xml:space="preserve">. </w:t>
      </w:r>
      <w:r w:rsidR="00750007">
        <w:rPr>
          <w:rFonts w:ascii="Garamond" w:hAnsi="Garamond"/>
          <w:sz w:val="24"/>
          <w:szCs w:val="24"/>
        </w:rPr>
        <w:tab/>
      </w:r>
    </w:p>
    <w:p w14:paraId="6050DB26" w14:textId="77777777" w:rsidR="009D272B" w:rsidRPr="001869B5" w:rsidRDefault="009D272B" w:rsidP="00C74E17">
      <w:pPr>
        <w:ind w:left="2160" w:hanging="2160"/>
        <w:rPr>
          <w:rFonts w:ascii="Garamond" w:hAnsi="Garamond"/>
          <w:color w:val="000000" w:themeColor="text1"/>
        </w:rPr>
      </w:pPr>
    </w:p>
    <w:p w14:paraId="7E2D093F" w14:textId="09ACE164" w:rsidR="00D9406D" w:rsidRPr="001869B5" w:rsidRDefault="00D9406D" w:rsidP="00C74E17">
      <w:pPr>
        <w:ind w:left="2160" w:hanging="2160"/>
        <w:rPr>
          <w:rFonts w:ascii="Garamond" w:hAnsi="Garamond"/>
          <w:color w:val="000000" w:themeColor="text1"/>
        </w:rPr>
      </w:pPr>
      <w:r w:rsidRPr="001869B5">
        <w:rPr>
          <w:rFonts w:ascii="Garamond" w:hAnsi="Garamond"/>
          <w:color w:val="000000" w:themeColor="text1"/>
        </w:rPr>
        <w:t>Lewis, David.</w:t>
      </w:r>
      <w:r w:rsidRPr="001869B5">
        <w:rPr>
          <w:rFonts w:ascii="Garamond" w:hAnsi="Garamond"/>
          <w:color w:val="000000" w:themeColor="text1"/>
        </w:rPr>
        <w:tab/>
        <w:t xml:space="preserve">2004. ‘What Experience Teaches’ </w:t>
      </w:r>
      <w:r w:rsidR="00FA2E77" w:rsidRPr="001869B5">
        <w:rPr>
          <w:rFonts w:ascii="Garamond" w:hAnsi="Garamond"/>
        </w:rPr>
        <w:t xml:space="preserve">in Peter Ludlow, </w:t>
      </w:r>
      <w:proofErr w:type="spellStart"/>
      <w:r w:rsidR="00FA2E77" w:rsidRPr="001869B5">
        <w:rPr>
          <w:rFonts w:ascii="Garamond" w:hAnsi="Garamond"/>
        </w:rPr>
        <w:t>Yujin</w:t>
      </w:r>
      <w:proofErr w:type="spellEnd"/>
      <w:r w:rsidR="00FA2E77" w:rsidRPr="001869B5">
        <w:rPr>
          <w:rFonts w:ascii="Garamond" w:hAnsi="Garamond"/>
        </w:rPr>
        <w:t xml:space="preserve"> Nagasawa and Daniel </w:t>
      </w:r>
      <w:proofErr w:type="spellStart"/>
      <w:r w:rsidR="00FA2E77" w:rsidRPr="001869B5">
        <w:rPr>
          <w:rFonts w:ascii="Garamond" w:hAnsi="Garamond"/>
        </w:rPr>
        <w:t>Stoljar</w:t>
      </w:r>
      <w:proofErr w:type="spellEnd"/>
      <w:r w:rsidR="00FA2E77" w:rsidRPr="001869B5">
        <w:rPr>
          <w:rFonts w:ascii="Garamond" w:hAnsi="Garamond"/>
        </w:rPr>
        <w:t xml:space="preserve"> (eds.)</w:t>
      </w:r>
      <w:r w:rsidR="00B44DA1">
        <w:rPr>
          <w:rFonts w:ascii="Garamond" w:hAnsi="Garamond"/>
        </w:rPr>
        <w:t xml:space="preserve"> 2004. </w:t>
      </w:r>
    </w:p>
    <w:p w14:paraId="3E3AAD93" w14:textId="77777777" w:rsidR="00FA2E77" w:rsidRPr="001869B5" w:rsidRDefault="00FA2E77" w:rsidP="00C74E17">
      <w:pPr>
        <w:ind w:left="2160" w:hanging="2160"/>
        <w:rPr>
          <w:rFonts w:ascii="Garamond" w:hAnsi="Garamond"/>
          <w:color w:val="000000" w:themeColor="text1"/>
        </w:rPr>
      </w:pPr>
    </w:p>
    <w:p w14:paraId="4AB30FB7" w14:textId="77777777" w:rsidR="00FA2E77" w:rsidRPr="001869B5" w:rsidRDefault="00FA2E77" w:rsidP="00FA2E77">
      <w:pPr>
        <w:ind w:left="2160" w:hanging="2160"/>
        <w:rPr>
          <w:rFonts w:ascii="Garamond" w:hAnsi="Garamond"/>
          <w:i/>
        </w:rPr>
      </w:pPr>
      <w:r w:rsidRPr="001869B5">
        <w:rPr>
          <w:rFonts w:ascii="Garamond" w:hAnsi="Garamond"/>
          <w:color w:val="000000" w:themeColor="text1"/>
        </w:rPr>
        <w:t xml:space="preserve">Ludlow, Peter, </w:t>
      </w:r>
      <w:r w:rsidRPr="001869B5">
        <w:rPr>
          <w:rFonts w:ascii="Garamond" w:hAnsi="Garamond"/>
          <w:color w:val="000000" w:themeColor="text1"/>
        </w:rPr>
        <w:tab/>
        <w:t xml:space="preserve">2004. </w:t>
      </w:r>
      <w:r w:rsidRPr="001869B5">
        <w:rPr>
          <w:rFonts w:ascii="Garamond" w:hAnsi="Garamond"/>
          <w:i/>
        </w:rPr>
        <w:t xml:space="preserve">There’s Something About Mary: Essays on Phenomenal Consciousness and </w:t>
      </w:r>
    </w:p>
    <w:p w14:paraId="37AB1EC6" w14:textId="25E15D59" w:rsidR="00FA2E77" w:rsidRPr="001869B5" w:rsidRDefault="00FA2E77" w:rsidP="00FA2E77">
      <w:pPr>
        <w:ind w:left="2160" w:hanging="2160"/>
        <w:rPr>
          <w:rFonts w:ascii="Garamond" w:hAnsi="Garamond"/>
          <w:color w:val="000000" w:themeColor="text1"/>
        </w:rPr>
      </w:pPr>
      <w:r w:rsidRPr="001869B5">
        <w:rPr>
          <w:rFonts w:ascii="Garamond" w:hAnsi="Garamond"/>
        </w:rPr>
        <w:t xml:space="preserve">Nagasawa </w:t>
      </w:r>
      <w:proofErr w:type="spellStart"/>
      <w:r w:rsidRPr="001869B5">
        <w:rPr>
          <w:rFonts w:ascii="Garamond" w:hAnsi="Garamond"/>
        </w:rPr>
        <w:t>Yujin</w:t>
      </w:r>
      <w:proofErr w:type="spellEnd"/>
      <w:r w:rsidRPr="001869B5">
        <w:rPr>
          <w:rFonts w:ascii="Garamond" w:hAnsi="Garamond"/>
        </w:rPr>
        <w:t>,</w:t>
      </w:r>
      <w:r w:rsidRPr="001869B5">
        <w:rPr>
          <w:rFonts w:ascii="Garamond" w:hAnsi="Garamond"/>
        </w:rPr>
        <w:tab/>
      </w:r>
      <w:r w:rsidRPr="001869B5">
        <w:rPr>
          <w:rFonts w:ascii="Garamond" w:hAnsi="Garamond"/>
          <w:i/>
        </w:rPr>
        <w:t xml:space="preserve">Frank Jackson’s Knowledge Argument. </w:t>
      </w:r>
      <w:r w:rsidRPr="001869B5">
        <w:rPr>
          <w:rFonts w:ascii="Garamond" w:hAnsi="Garamond"/>
        </w:rPr>
        <w:t>(MIT Press)</w:t>
      </w:r>
      <w:r w:rsidR="00B44DA1">
        <w:rPr>
          <w:rFonts w:ascii="Garamond" w:hAnsi="Garamond"/>
        </w:rPr>
        <w:t>.</w:t>
      </w:r>
    </w:p>
    <w:p w14:paraId="44DB888B" w14:textId="2D440786" w:rsidR="00FA2E77" w:rsidRPr="001869B5" w:rsidRDefault="00FA2E77" w:rsidP="00C74E17">
      <w:pPr>
        <w:ind w:left="2160" w:hanging="2160"/>
        <w:rPr>
          <w:rFonts w:ascii="Garamond" w:hAnsi="Garamond"/>
          <w:color w:val="000000" w:themeColor="text1"/>
        </w:rPr>
      </w:pPr>
      <w:r w:rsidRPr="001869B5">
        <w:rPr>
          <w:rFonts w:ascii="Garamond" w:hAnsi="Garamond"/>
        </w:rPr>
        <w:t xml:space="preserve">&amp; </w:t>
      </w:r>
      <w:proofErr w:type="spellStart"/>
      <w:r w:rsidRPr="001869B5">
        <w:rPr>
          <w:rFonts w:ascii="Garamond" w:hAnsi="Garamond"/>
        </w:rPr>
        <w:t>Stoljar</w:t>
      </w:r>
      <w:proofErr w:type="spellEnd"/>
      <w:r w:rsidRPr="001869B5">
        <w:rPr>
          <w:rFonts w:ascii="Garamond" w:hAnsi="Garamond"/>
        </w:rPr>
        <w:t>, Daniel (eds.)</w:t>
      </w:r>
      <w:r w:rsidRPr="001869B5">
        <w:rPr>
          <w:rFonts w:ascii="Garamond" w:hAnsi="Garamond"/>
          <w:color w:val="000000" w:themeColor="text1"/>
        </w:rPr>
        <w:t xml:space="preserve"> </w:t>
      </w:r>
    </w:p>
    <w:p w14:paraId="12237097" w14:textId="77777777" w:rsidR="00FA2E77" w:rsidRPr="001869B5" w:rsidRDefault="00FA2E77" w:rsidP="00C74E17">
      <w:pPr>
        <w:ind w:left="2160" w:hanging="2160"/>
        <w:rPr>
          <w:rFonts w:ascii="Garamond" w:hAnsi="Garamond"/>
          <w:color w:val="000000" w:themeColor="text1"/>
        </w:rPr>
      </w:pPr>
    </w:p>
    <w:p w14:paraId="29D8F87D" w14:textId="6DB8B8DD" w:rsidR="00957C3F" w:rsidRPr="00B44DA1" w:rsidRDefault="00957C3F" w:rsidP="00957C3F">
      <w:pPr>
        <w:shd w:val="clear" w:color="auto" w:fill="FFFFFF"/>
        <w:spacing w:before="100" w:beforeAutospacing="1" w:after="120" w:line="300" w:lineRule="atLeast"/>
        <w:ind w:left="-480" w:firstLine="480"/>
        <w:rPr>
          <w:rFonts w:ascii="Garamond" w:eastAsia="Times New Roman" w:hAnsi="Garamond" w:cs="Times New Roman"/>
          <w:color w:val="000000" w:themeColor="text1"/>
        </w:rPr>
      </w:pPr>
      <w:proofErr w:type="spellStart"/>
      <w:r w:rsidRPr="00B44DA1">
        <w:rPr>
          <w:rFonts w:ascii="Garamond" w:eastAsia="Times New Roman" w:hAnsi="Garamond" w:cs="Times New Roman"/>
          <w:color w:val="000000" w:themeColor="text1"/>
        </w:rPr>
        <w:t>Noë</w:t>
      </w:r>
      <w:proofErr w:type="spellEnd"/>
      <w:r w:rsidRPr="00B44DA1">
        <w:rPr>
          <w:rFonts w:ascii="Garamond" w:eastAsia="Times New Roman" w:hAnsi="Garamond" w:cs="Times New Roman"/>
          <w:color w:val="000000" w:themeColor="text1"/>
        </w:rPr>
        <w:t>, Alva.</w:t>
      </w:r>
      <w:r w:rsidRPr="00B44DA1">
        <w:rPr>
          <w:rFonts w:ascii="Garamond" w:eastAsia="Times New Roman" w:hAnsi="Garamond" w:cs="Times New Roman"/>
          <w:color w:val="000000" w:themeColor="text1"/>
        </w:rPr>
        <w:tab/>
      </w:r>
      <w:r w:rsidRPr="00B44DA1">
        <w:rPr>
          <w:rFonts w:ascii="Garamond" w:eastAsia="Times New Roman" w:hAnsi="Garamond" w:cs="Times New Roman"/>
          <w:color w:val="000000" w:themeColor="text1"/>
        </w:rPr>
        <w:tab/>
        <w:t>2005. ‘</w:t>
      </w:r>
      <w:r w:rsidR="00B44DA1">
        <w:rPr>
          <w:rFonts w:ascii="Garamond" w:eastAsia="Times New Roman" w:hAnsi="Garamond" w:cs="Times New Roman"/>
          <w:color w:val="000000" w:themeColor="text1"/>
        </w:rPr>
        <w:t>Against Intellectualism’.</w:t>
      </w:r>
      <w:r w:rsidRPr="00B44DA1">
        <w:rPr>
          <w:rFonts w:ascii="Garamond" w:eastAsia="Times New Roman" w:hAnsi="Garamond" w:cs="Times New Roman"/>
          <w:color w:val="000000" w:themeColor="text1"/>
        </w:rPr>
        <w:t> </w:t>
      </w:r>
      <w:r w:rsidRPr="00B44DA1">
        <w:rPr>
          <w:rFonts w:ascii="Garamond" w:eastAsia="Times New Roman" w:hAnsi="Garamond" w:cs="Times New Roman"/>
          <w:i/>
          <w:iCs/>
          <w:color w:val="000000" w:themeColor="text1"/>
        </w:rPr>
        <w:t>Analysis</w:t>
      </w:r>
      <w:r w:rsidRPr="00B44DA1">
        <w:rPr>
          <w:rFonts w:ascii="Garamond" w:eastAsia="Times New Roman" w:hAnsi="Garamond" w:cs="Times New Roman"/>
          <w:color w:val="000000" w:themeColor="text1"/>
        </w:rPr>
        <w:t>, 65(4): 278–90.</w:t>
      </w:r>
    </w:p>
    <w:p w14:paraId="3657367C" w14:textId="77777777" w:rsidR="00957C3F" w:rsidRDefault="00957C3F" w:rsidP="00C74E17">
      <w:pPr>
        <w:ind w:left="2160" w:hanging="2160"/>
        <w:rPr>
          <w:rFonts w:ascii="Garamond" w:hAnsi="Garamond"/>
          <w:color w:val="000000" w:themeColor="text1"/>
        </w:rPr>
      </w:pPr>
    </w:p>
    <w:p w14:paraId="2D69D190" w14:textId="204655D1" w:rsidR="00C74E17" w:rsidRPr="001869B5" w:rsidRDefault="00C74E17" w:rsidP="00C74E17">
      <w:pPr>
        <w:ind w:left="2160" w:hanging="2160"/>
        <w:rPr>
          <w:rFonts w:ascii="Garamond" w:hAnsi="Garamond"/>
          <w:color w:val="000000" w:themeColor="text1"/>
        </w:rPr>
      </w:pPr>
      <w:r w:rsidRPr="001869B5">
        <w:rPr>
          <w:rFonts w:ascii="Garamond" w:hAnsi="Garamond"/>
          <w:color w:val="000000" w:themeColor="text1"/>
        </w:rPr>
        <w:t>Seemann, Axel. (ed.).</w:t>
      </w:r>
      <w:r w:rsidRPr="001869B5">
        <w:rPr>
          <w:rFonts w:ascii="Garamond" w:hAnsi="Garamond"/>
          <w:color w:val="000000" w:themeColor="text1"/>
        </w:rPr>
        <w:tab/>
        <w:t xml:space="preserve">2011. </w:t>
      </w:r>
      <w:r w:rsidRPr="001869B5">
        <w:rPr>
          <w:rFonts w:ascii="Garamond" w:hAnsi="Garamond"/>
          <w:i/>
          <w:color w:val="000000" w:themeColor="text1"/>
        </w:rPr>
        <w:t xml:space="preserve">Joint Attention. </w:t>
      </w:r>
      <w:r w:rsidR="00B44DA1">
        <w:rPr>
          <w:rFonts w:ascii="Garamond" w:hAnsi="Garamond"/>
          <w:color w:val="000000" w:themeColor="text1"/>
        </w:rPr>
        <w:t>(</w:t>
      </w:r>
      <w:r w:rsidRPr="001869B5">
        <w:rPr>
          <w:rFonts w:ascii="Garamond" w:hAnsi="Garamond"/>
          <w:color w:val="000000" w:themeColor="text1"/>
        </w:rPr>
        <w:t>MIT Press</w:t>
      </w:r>
      <w:r w:rsidR="00B44DA1">
        <w:rPr>
          <w:rFonts w:ascii="Garamond" w:hAnsi="Garamond"/>
          <w:color w:val="000000" w:themeColor="text1"/>
        </w:rPr>
        <w:t>)</w:t>
      </w:r>
      <w:r w:rsidRPr="001869B5">
        <w:rPr>
          <w:rFonts w:ascii="Garamond" w:hAnsi="Garamond"/>
          <w:color w:val="000000" w:themeColor="text1"/>
        </w:rPr>
        <w:t>.</w:t>
      </w:r>
    </w:p>
    <w:p w14:paraId="4F993EFA" w14:textId="77777777" w:rsidR="00C74E17" w:rsidRPr="001869B5" w:rsidRDefault="00C74E17" w:rsidP="00C74E17">
      <w:pPr>
        <w:rPr>
          <w:rFonts w:ascii="Garamond" w:hAnsi="Garamond"/>
        </w:rPr>
      </w:pPr>
    </w:p>
    <w:p w14:paraId="4511E977" w14:textId="77777777" w:rsidR="00C74E17" w:rsidRPr="001869B5" w:rsidRDefault="00C74E17" w:rsidP="00C74E17">
      <w:pPr>
        <w:ind w:left="2160" w:hanging="2160"/>
        <w:rPr>
          <w:rFonts w:ascii="Garamond" w:hAnsi="Garamond"/>
        </w:rPr>
      </w:pPr>
      <w:r w:rsidRPr="001869B5">
        <w:rPr>
          <w:rFonts w:ascii="Garamond" w:hAnsi="Garamond"/>
        </w:rPr>
        <w:t xml:space="preserve">Smith, James K.A. </w:t>
      </w:r>
      <w:r w:rsidRPr="001869B5">
        <w:rPr>
          <w:rFonts w:ascii="Garamond" w:hAnsi="Garamond"/>
        </w:rPr>
        <w:tab/>
        <w:t>2018. ‘Review of Terence Cuneo, Ritualized Faith: Essays on the Philosophy of Liturgy’</w:t>
      </w:r>
      <w:r w:rsidRPr="001869B5">
        <w:rPr>
          <w:rFonts w:ascii="Garamond" w:hAnsi="Garamond"/>
          <w:i/>
        </w:rPr>
        <w:t xml:space="preserve"> Scottish Journal of Theology</w:t>
      </w:r>
      <w:r w:rsidRPr="001869B5">
        <w:rPr>
          <w:rFonts w:ascii="Garamond" w:hAnsi="Garamond"/>
        </w:rPr>
        <w:t xml:space="preserve">, Vol 71.1. </w:t>
      </w:r>
    </w:p>
    <w:p w14:paraId="5B36629B" w14:textId="3704B336" w:rsidR="00C74E17" w:rsidRPr="001869B5" w:rsidRDefault="00C74E17" w:rsidP="00C74E17">
      <w:pPr>
        <w:spacing w:line="360" w:lineRule="auto"/>
        <w:ind w:left="1440" w:firstLine="720"/>
        <w:rPr>
          <w:rFonts w:ascii="Garamond" w:hAnsi="Garamond"/>
        </w:rPr>
      </w:pPr>
      <w:r w:rsidRPr="001869B5">
        <w:rPr>
          <w:rFonts w:ascii="Garamond" w:hAnsi="Garamond"/>
        </w:rPr>
        <w:t xml:space="preserve">2017. </w:t>
      </w:r>
      <w:r w:rsidRPr="001869B5">
        <w:rPr>
          <w:rFonts w:ascii="Garamond" w:hAnsi="Garamond"/>
          <w:i/>
        </w:rPr>
        <w:t xml:space="preserve">Awaiting the King. </w:t>
      </w:r>
      <w:r w:rsidR="00B44DA1">
        <w:rPr>
          <w:rFonts w:ascii="Garamond" w:hAnsi="Garamond"/>
        </w:rPr>
        <w:t>(</w:t>
      </w:r>
      <w:r w:rsidRPr="001869B5">
        <w:rPr>
          <w:rFonts w:ascii="Garamond" w:hAnsi="Garamond"/>
        </w:rPr>
        <w:t>Baker Academic</w:t>
      </w:r>
      <w:r w:rsidR="00B44DA1">
        <w:rPr>
          <w:rFonts w:ascii="Garamond" w:hAnsi="Garamond"/>
        </w:rPr>
        <w:t>)</w:t>
      </w:r>
      <w:r w:rsidRPr="001869B5">
        <w:rPr>
          <w:rFonts w:ascii="Garamond" w:hAnsi="Garamond"/>
        </w:rPr>
        <w:t>.</w:t>
      </w:r>
    </w:p>
    <w:p w14:paraId="5071AF1F" w14:textId="46CA417E" w:rsidR="00C74E17" w:rsidRPr="001869B5" w:rsidRDefault="00C74E17" w:rsidP="00C74E17">
      <w:pPr>
        <w:spacing w:line="360" w:lineRule="auto"/>
        <w:rPr>
          <w:rFonts w:ascii="Garamond" w:hAnsi="Garamond"/>
        </w:rPr>
      </w:pPr>
      <w:r w:rsidRPr="001869B5">
        <w:rPr>
          <w:rFonts w:ascii="Garamond" w:hAnsi="Garamond"/>
        </w:rPr>
        <w:tab/>
      </w:r>
      <w:r w:rsidRPr="001869B5">
        <w:rPr>
          <w:rFonts w:ascii="Garamond" w:hAnsi="Garamond"/>
        </w:rPr>
        <w:tab/>
      </w:r>
      <w:r w:rsidRPr="001869B5">
        <w:rPr>
          <w:rFonts w:ascii="Garamond" w:hAnsi="Garamond"/>
        </w:rPr>
        <w:tab/>
        <w:t xml:space="preserve">2013. </w:t>
      </w:r>
      <w:r w:rsidRPr="001869B5">
        <w:rPr>
          <w:rFonts w:ascii="Garamond" w:hAnsi="Garamond"/>
          <w:i/>
        </w:rPr>
        <w:t xml:space="preserve">Imagining the Kingdom. </w:t>
      </w:r>
      <w:r w:rsidR="00B44DA1">
        <w:rPr>
          <w:rFonts w:ascii="Garamond" w:hAnsi="Garamond"/>
        </w:rPr>
        <w:t>(</w:t>
      </w:r>
      <w:r w:rsidRPr="001869B5">
        <w:rPr>
          <w:rFonts w:ascii="Garamond" w:hAnsi="Garamond"/>
        </w:rPr>
        <w:t>Baker Academic</w:t>
      </w:r>
      <w:r w:rsidR="00B44DA1">
        <w:rPr>
          <w:rFonts w:ascii="Garamond" w:hAnsi="Garamond"/>
        </w:rPr>
        <w:t>)</w:t>
      </w:r>
      <w:r w:rsidRPr="001869B5">
        <w:rPr>
          <w:rFonts w:ascii="Garamond" w:hAnsi="Garamond"/>
        </w:rPr>
        <w:t>.</w:t>
      </w:r>
    </w:p>
    <w:p w14:paraId="345817CC" w14:textId="11F7E80C" w:rsidR="00C74E17" w:rsidRPr="001869B5" w:rsidRDefault="00C74E17" w:rsidP="00606267">
      <w:pPr>
        <w:spacing w:line="360" w:lineRule="auto"/>
        <w:ind w:left="1440" w:firstLine="720"/>
        <w:outlineLvl w:val="0"/>
        <w:rPr>
          <w:rFonts w:ascii="Garamond" w:hAnsi="Garamond"/>
        </w:rPr>
      </w:pPr>
      <w:r w:rsidRPr="001869B5">
        <w:rPr>
          <w:rFonts w:ascii="Garamond" w:hAnsi="Garamond"/>
        </w:rPr>
        <w:t xml:space="preserve">2009. </w:t>
      </w:r>
      <w:r w:rsidRPr="001869B5">
        <w:rPr>
          <w:rFonts w:ascii="Garamond" w:hAnsi="Garamond"/>
          <w:i/>
        </w:rPr>
        <w:t xml:space="preserve">Desiring the Kingdom. </w:t>
      </w:r>
      <w:r w:rsidR="00B44DA1">
        <w:rPr>
          <w:rFonts w:ascii="Garamond" w:hAnsi="Garamond"/>
        </w:rPr>
        <w:t>(</w:t>
      </w:r>
      <w:r w:rsidRPr="001869B5">
        <w:rPr>
          <w:rFonts w:ascii="Garamond" w:hAnsi="Garamond"/>
        </w:rPr>
        <w:t>Baker Academic</w:t>
      </w:r>
      <w:r w:rsidR="00B44DA1">
        <w:rPr>
          <w:rFonts w:ascii="Garamond" w:hAnsi="Garamond"/>
        </w:rPr>
        <w:t>)</w:t>
      </w:r>
      <w:r w:rsidRPr="001869B5">
        <w:rPr>
          <w:rFonts w:ascii="Garamond" w:hAnsi="Garamond"/>
        </w:rPr>
        <w:t xml:space="preserve">. </w:t>
      </w:r>
    </w:p>
    <w:p w14:paraId="143A3F19" w14:textId="53AFB409" w:rsidR="00A9744E" w:rsidRPr="001869B5" w:rsidRDefault="00B44DA1" w:rsidP="00A9744E">
      <w:pPr>
        <w:autoSpaceDE w:val="0"/>
        <w:autoSpaceDN w:val="0"/>
        <w:adjustRightInd w:val="0"/>
        <w:rPr>
          <w:rFonts w:ascii="Garamond" w:hAnsi="Garamond" w:cs="Times New Roman"/>
          <w:lang w:val="en-US"/>
        </w:rPr>
      </w:pPr>
      <w:r>
        <w:rPr>
          <w:rFonts w:ascii="Garamond" w:hAnsi="Garamond" w:cs="Times New Roman"/>
          <w:lang w:val="en-US"/>
        </w:rPr>
        <w:t xml:space="preserve">Stanley, Jason, </w:t>
      </w:r>
      <w:r>
        <w:rPr>
          <w:rFonts w:ascii="Garamond" w:hAnsi="Garamond" w:cs="Times New Roman"/>
          <w:lang w:val="en-US"/>
        </w:rPr>
        <w:tab/>
      </w:r>
      <w:r>
        <w:rPr>
          <w:rFonts w:ascii="Garamond" w:hAnsi="Garamond" w:cs="Times New Roman"/>
          <w:lang w:val="en-US"/>
        </w:rPr>
        <w:tab/>
        <w:t>2011.</w:t>
      </w:r>
      <w:r w:rsidR="00A9744E" w:rsidRPr="001869B5">
        <w:rPr>
          <w:rFonts w:ascii="Garamond" w:hAnsi="Garamond" w:cs="Times New Roman"/>
          <w:lang w:val="en-US"/>
        </w:rPr>
        <w:t xml:space="preserve"> </w:t>
      </w:r>
      <w:r w:rsidR="00A9744E" w:rsidRPr="00B44DA1">
        <w:rPr>
          <w:rFonts w:ascii="Garamond" w:hAnsi="Garamond" w:cs="Times New Roman"/>
          <w:i/>
          <w:lang w:val="en-US"/>
        </w:rPr>
        <w:t>Know How</w:t>
      </w:r>
      <w:r w:rsidR="00A9744E" w:rsidRPr="001869B5">
        <w:rPr>
          <w:rFonts w:ascii="Garamond" w:hAnsi="Garamond" w:cs="Times New Roman"/>
          <w:lang w:val="en-US"/>
        </w:rPr>
        <w:t xml:space="preserve"> (Oxford University Press).</w:t>
      </w:r>
    </w:p>
    <w:p w14:paraId="2C0405CC" w14:textId="77777777" w:rsidR="00A9744E" w:rsidRPr="001869B5" w:rsidRDefault="00A9744E" w:rsidP="00A9744E">
      <w:pPr>
        <w:autoSpaceDE w:val="0"/>
        <w:autoSpaceDN w:val="0"/>
        <w:adjustRightInd w:val="0"/>
        <w:rPr>
          <w:rFonts w:ascii="Garamond" w:hAnsi="Garamond" w:cs="Times New Roman"/>
          <w:lang w:val="en-US"/>
        </w:rPr>
      </w:pPr>
    </w:p>
    <w:p w14:paraId="4B94BE23" w14:textId="66768C05" w:rsidR="00A9744E" w:rsidRPr="001869B5" w:rsidRDefault="00B44DA1" w:rsidP="00A9744E">
      <w:pPr>
        <w:autoSpaceDE w:val="0"/>
        <w:autoSpaceDN w:val="0"/>
        <w:adjustRightInd w:val="0"/>
        <w:rPr>
          <w:rFonts w:ascii="Garamond" w:hAnsi="Garamond" w:cs="Times New Roman"/>
          <w:lang w:val="en-US"/>
        </w:rPr>
      </w:pPr>
      <w:r>
        <w:rPr>
          <w:rFonts w:ascii="Garamond" w:hAnsi="Garamond" w:cs="Times New Roman"/>
          <w:lang w:val="en-US"/>
        </w:rPr>
        <w:t>Stanley, Jason &amp;</w:t>
      </w:r>
      <w:r>
        <w:rPr>
          <w:rFonts w:ascii="Garamond" w:hAnsi="Garamond" w:cs="Times New Roman"/>
          <w:lang w:val="en-US"/>
        </w:rPr>
        <w:tab/>
        <w:t>2001.</w:t>
      </w:r>
      <w:r w:rsidR="00A9744E" w:rsidRPr="001869B5">
        <w:rPr>
          <w:rFonts w:ascii="Garamond" w:hAnsi="Garamond" w:cs="Times New Roman"/>
          <w:lang w:val="en-US"/>
        </w:rPr>
        <w:t xml:space="preserve"> ‘Knowing How’</w:t>
      </w:r>
      <w:r>
        <w:rPr>
          <w:rFonts w:ascii="Garamond" w:hAnsi="Garamond" w:cs="Times New Roman"/>
          <w:lang w:val="en-US"/>
        </w:rPr>
        <w:t xml:space="preserve">. </w:t>
      </w:r>
      <w:r w:rsidR="00A9744E" w:rsidRPr="001869B5">
        <w:rPr>
          <w:rFonts w:ascii="Garamond" w:hAnsi="Garamond" w:cs="Times New Roman"/>
          <w:i/>
          <w:lang w:val="en-US"/>
        </w:rPr>
        <w:t>Journal of Philosophy</w:t>
      </w:r>
      <w:r w:rsidR="00A9744E" w:rsidRPr="001869B5">
        <w:rPr>
          <w:rFonts w:ascii="Garamond" w:hAnsi="Garamond" w:cs="Times New Roman"/>
          <w:lang w:val="en-US"/>
        </w:rPr>
        <w:t xml:space="preserve"> 98 (8):411-444.</w:t>
      </w:r>
    </w:p>
    <w:p w14:paraId="1C8D0C1E" w14:textId="191A52B8" w:rsidR="009F4034" w:rsidRPr="001869B5" w:rsidRDefault="00A9744E" w:rsidP="00A9744E">
      <w:pPr>
        <w:autoSpaceDE w:val="0"/>
        <w:autoSpaceDN w:val="0"/>
        <w:adjustRightInd w:val="0"/>
        <w:rPr>
          <w:rFonts w:ascii="Garamond" w:hAnsi="Garamond" w:cs="Times New Roman"/>
          <w:lang w:val="en-US"/>
        </w:rPr>
      </w:pPr>
      <w:r w:rsidRPr="001869B5">
        <w:rPr>
          <w:rFonts w:ascii="Garamond" w:hAnsi="Garamond" w:cs="Times New Roman"/>
          <w:lang w:val="en-US"/>
        </w:rPr>
        <w:t>Williamson, Timothy</w:t>
      </w:r>
    </w:p>
    <w:p w14:paraId="21E412A5" w14:textId="77777777" w:rsidR="00A9744E" w:rsidRPr="001869B5" w:rsidRDefault="00A9744E" w:rsidP="00A9744E">
      <w:pPr>
        <w:autoSpaceDE w:val="0"/>
        <w:autoSpaceDN w:val="0"/>
        <w:adjustRightInd w:val="0"/>
        <w:rPr>
          <w:rFonts w:ascii="Garamond" w:hAnsi="Garamond"/>
        </w:rPr>
      </w:pPr>
    </w:p>
    <w:p w14:paraId="3295B74A" w14:textId="683F5F70" w:rsidR="00C74E17" w:rsidRPr="001869B5" w:rsidRDefault="00C74E17" w:rsidP="00C74E17">
      <w:pPr>
        <w:spacing w:line="360" w:lineRule="auto"/>
        <w:ind w:left="2160" w:hanging="2160"/>
        <w:rPr>
          <w:rFonts w:ascii="Garamond" w:hAnsi="Garamond"/>
        </w:rPr>
      </w:pPr>
      <w:r w:rsidRPr="001869B5">
        <w:rPr>
          <w:rFonts w:ascii="Garamond" w:hAnsi="Garamond"/>
        </w:rPr>
        <w:t>Stump, Eleonore</w:t>
      </w:r>
      <w:r w:rsidRPr="001869B5">
        <w:rPr>
          <w:rFonts w:ascii="Garamond" w:hAnsi="Garamond"/>
        </w:rPr>
        <w:tab/>
      </w:r>
      <w:r w:rsidR="00B44DA1">
        <w:rPr>
          <w:rFonts w:ascii="Garamond" w:hAnsi="Garamond" w:cs="Arial"/>
          <w:color w:val="000000" w:themeColor="text1"/>
        </w:rPr>
        <w:t>2015. ‘Atonement and Eucharist’.</w:t>
      </w:r>
      <w:r w:rsidRPr="001869B5">
        <w:rPr>
          <w:rFonts w:ascii="Garamond" w:hAnsi="Garamond" w:cs="Arial"/>
          <w:color w:val="000000" w:themeColor="text1"/>
        </w:rPr>
        <w:t xml:space="preserve"> in </w:t>
      </w:r>
      <w:r w:rsidRPr="001869B5">
        <w:rPr>
          <w:rFonts w:ascii="Garamond" w:hAnsi="Garamond" w:cs="Arial"/>
          <w:i/>
          <w:color w:val="000000" w:themeColor="text1"/>
        </w:rPr>
        <w:t xml:space="preserve">Locating Atonement: Explorations in Constructive </w:t>
      </w:r>
      <w:proofErr w:type="spellStart"/>
      <w:r w:rsidRPr="001869B5">
        <w:rPr>
          <w:rFonts w:ascii="Garamond" w:hAnsi="Garamond" w:cs="Arial"/>
          <w:i/>
          <w:color w:val="000000" w:themeColor="text1"/>
        </w:rPr>
        <w:t>Dogmatics</w:t>
      </w:r>
      <w:proofErr w:type="spellEnd"/>
      <w:r w:rsidRPr="001869B5">
        <w:rPr>
          <w:rFonts w:ascii="Garamond" w:hAnsi="Garamond" w:cs="Arial"/>
          <w:color w:val="000000" w:themeColor="text1"/>
        </w:rPr>
        <w:t xml:space="preserve">, edited by Oliver Crisp and Fred Sanders. </w:t>
      </w:r>
      <w:r w:rsidR="00B44DA1">
        <w:rPr>
          <w:rFonts w:ascii="Garamond" w:hAnsi="Garamond" w:cs="Arial"/>
          <w:color w:val="000000" w:themeColor="text1"/>
        </w:rPr>
        <w:t>(</w:t>
      </w:r>
      <w:r w:rsidRPr="001869B5">
        <w:rPr>
          <w:rFonts w:ascii="Garamond" w:hAnsi="Garamond" w:cs="Arial"/>
          <w:color w:val="000000" w:themeColor="text1"/>
        </w:rPr>
        <w:t>Zondervan</w:t>
      </w:r>
      <w:r w:rsidR="00B44DA1">
        <w:rPr>
          <w:rFonts w:ascii="Garamond" w:hAnsi="Garamond" w:cs="Arial"/>
          <w:color w:val="000000" w:themeColor="text1"/>
        </w:rPr>
        <w:t>)</w:t>
      </w:r>
      <w:r w:rsidRPr="001869B5">
        <w:rPr>
          <w:rFonts w:ascii="Garamond" w:hAnsi="Garamond" w:cs="Arial"/>
          <w:color w:val="000000" w:themeColor="text1"/>
        </w:rPr>
        <w:t>.</w:t>
      </w:r>
    </w:p>
    <w:p w14:paraId="34A564FB" w14:textId="1DEA23F1" w:rsidR="00C74E17" w:rsidRPr="001869B5" w:rsidRDefault="00C74E17" w:rsidP="00606267">
      <w:pPr>
        <w:spacing w:line="360" w:lineRule="auto"/>
        <w:ind w:left="2160"/>
        <w:outlineLvl w:val="0"/>
        <w:rPr>
          <w:rFonts w:ascii="Garamond" w:hAnsi="Garamond"/>
        </w:rPr>
      </w:pPr>
      <w:r w:rsidRPr="001869B5">
        <w:rPr>
          <w:rFonts w:ascii="Garamond" w:hAnsi="Garamond"/>
        </w:rPr>
        <w:t xml:space="preserve">2010. </w:t>
      </w:r>
      <w:r w:rsidRPr="001869B5">
        <w:rPr>
          <w:rFonts w:ascii="Garamond" w:hAnsi="Garamond"/>
          <w:i/>
        </w:rPr>
        <w:t xml:space="preserve">Wandering in Darkness: Narrative and the Problem of Suffering. </w:t>
      </w:r>
      <w:r w:rsidR="00B44DA1">
        <w:rPr>
          <w:rFonts w:ascii="Garamond" w:hAnsi="Garamond"/>
        </w:rPr>
        <w:t>(</w:t>
      </w:r>
      <w:r w:rsidRPr="001869B5">
        <w:rPr>
          <w:rFonts w:ascii="Garamond" w:hAnsi="Garamond"/>
        </w:rPr>
        <w:t>Oxford University Press</w:t>
      </w:r>
      <w:r w:rsidR="00B44DA1">
        <w:rPr>
          <w:rFonts w:ascii="Garamond" w:hAnsi="Garamond"/>
        </w:rPr>
        <w:t>)</w:t>
      </w:r>
      <w:r w:rsidRPr="001869B5">
        <w:rPr>
          <w:rFonts w:ascii="Garamond" w:hAnsi="Garamond"/>
        </w:rPr>
        <w:t>.</w:t>
      </w:r>
    </w:p>
    <w:p w14:paraId="481FB585" w14:textId="1FB661A5" w:rsidR="00C74E17" w:rsidRPr="001869B5" w:rsidRDefault="00C74E17" w:rsidP="00C74E17">
      <w:pPr>
        <w:spacing w:line="360" w:lineRule="auto"/>
        <w:ind w:left="720" w:hanging="720"/>
        <w:rPr>
          <w:rFonts w:ascii="Garamond" w:hAnsi="Garamond"/>
        </w:rPr>
      </w:pPr>
      <w:r w:rsidRPr="001869B5">
        <w:rPr>
          <w:rFonts w:ascii="Garamond" w:hAnsi="Garamond"/>
        </w:rPr>
        <w:t xml:space="preserve">Talbert, Bonnie. </w:t>
      </w:r>
      <w:r w:rsidRPr="001869B5">
        <w:rPr>
          <w:rFonts w:ascii="Garamond" w:hAnsi="Garamond"/>
        </w:rPr>
        <w:tab/>
        <w:t>2015. ‘Knowing Other People: A Second-Person Framework’</w:t>
      </w:r>
      <w:r w:rsidR="00B44DA1">
        <w:rPr>
          <w:rFonts w:ascii="Garamond" w:hAnsi="Garamond"/>
        </w:rPr>
        <w:t xml:space="preserve">. </w:t>
      </w:r>
      <w:r w:rsidRPr="001869B5">
        <w:rPr>
          <w:rFonts w:ascii="Garamond" w:hAnsi="Garamond"/>
          <w:i/>
        </w:rPr>
        <w:t>Ratio</w:t>
      </w:r>
      <w:r w:rsidRPr="001869B5">
        <w:rPr>
          <w:rFonts w:ascii="Garamond" w:hAnsi="Garamond"/>
        </w:rPr>
        <w:t xml:space="preserve">, 28: </w:t>
      </w:r>
    </w:p>
    <w:p w14:paraId="03837BF9" w14:textId="77777777" w:rsidR="00C74E17" w:rsidRPr="001869B5" w:rsidRDefault="00C74E17" w:rsidP="00C74E17">
      <w:pPr>
        <w:spacing w:line="360" w:lineRule="auto"/>
        <w:ind w:left="1440" w:firstLine="720"/>
        <w:rPr>
          <w:rFonts w:ascii="Garamond" w:hAnsi="Garamond"/>
        </w:rPr>
      </w:pPr>
      <w:r w:rsidRPr="001869B5">
        <w:rPr>
          <w:rFonts w:ascii="Garamond" w:hAnsi="Garamond"/>
        </w:rPr>
        <w:t>190-206.</w:t>
      </w:r>
    </w:p>
    <w:p w14:paraId="6637ABF6" w14:textId="744A7328" w:rsidR="00C74E17" w:rsidRPr="001869B5" w:rsidRDefault="00C74E17" w:rsidP="00C74E17">
      <w:pPr>
        <w:spacing w:line="360" w:lineRule="auto"/>
        <w:rPr>
          <w:rFonts w:ascii="Garamond" w:hAnsi="Garamond"/>
        </w:rPr>
      </w:pPr>
      <w:r w:rsidRPr="001869B5">
        <w:rPr>
          <w:rFonts w:ascii="Garamond" w:hAnsi="Garamond"/>
        </w:rPr>
        <w:t xml:space="preserve">Wolterstorff, Nicholas. 2018. </w:t>
      </w:r>
      <w:r w:rsidRPr="001869B5">
        <w:rPr>
          <w:rFonts w:ascii="Garamond" w:hAnsi="Garamond"/>
          <w:i/>
        </w:rPr>
        <w:t xml:space="preserve">Acting Liturgically. </w:t>
      </w:r>
      <w:r w:rsidR="00B44DA1">
        <w:rPr>
          <w:rFonts w:ascii="Garamond" w:hAnsi="Garamond"/>
        </w:rPr>
        <w:t>(</w:t>
      </w:r>
      <w:r w:rsidRPr="001869B5">
        <w:rPr>
          <w:rFonts w:ascii="Garamond" w:hAnsi="Garamond"/>
        </w:rPr>
        <w:t>Oxford University Press</w:t>
      </w:r>
      <w:r w:rsidR="00B44DA1">
        <w:rPr>
          <w:rFonts w:ascii="Garamond" w:hAnsi="Garamond"/>
        </w:rPr>
        <w:t>)</w:t>
      </w:r>
      <w:r w:rsidRPr="001869B5">
        <w:rPr>
          <w:rFonts w:ascii="Garamond" w:hAnsi="Garamond"/>
        </w:rPr>
        <w:t>.</w:t>
      </w:r>
    </w:p>
    <w:p w14:paraId="00CCF887" w14:textId="600A2BF2" w:rsidR="00C74E17" w:rsidRPr="001869B5" w:rsidRDefault="00C74E17" w:rsidP="00C74E17">
      <w:pPr>
        <w:spacing w:line="360" w:lineRule="auto"/>
        <w:rPr>
          <w:rFonts w:ascii="Garamond" w:hAnsi="Garamond"/>
        </w:rPr>
      </w:pPr>
      <w:r w:rsidRPr="001869B5">
        <w:rPr>
          <w:rFonts w:ascii="Garamond" w:hAnsi="Garamond"/>
        </w:rPr>
        <w:tab/>
      </w:r>
      <w:r w:rsidRPr="001869B5">
        <w:rPr>
          <w:rFonts w:ascii="Garamond" w:hAnsi="Garamond"/>
        </w:rPr>
        <w:tab/>
      </w:r>
      <w:r w:rsidRPr="001869B5">
        <w:rPr>
          <w:rFonts w:ascii="Garamond" w:hAnsi="Garamond"/>
        </w:rPr>
        <w:tab/>
        <w:t>2016. ‘Knowing God Liturgically’</w:t>
      </w:r>
      <w:r w:rsidR="00B44DA1">
        <w:rPr>
          <w:rFonts w:ascii="Garamond" w:hAnsi="Garamond"/>
        </w:rPr>
        <w:t xml:space="preserve">. </w:t>
      </w:r>
      <w:r w:rsidRPr="001869B5">
        <w:rPr>
          <w:rFonts w:ascii="Garamond" w:hAnsi="Garamond"/>
          <w:i/>
        </w:rPr>
        <w:t>The Journal for Analytic Theology</w:t>
      </w:r>
      <w:r w:rsidRPr="001869B5">
        <w:rPr>
          <w:rFonts w:ascii="Garamond" w:hAnsi="Garamond"/>
        </w:rPr>
        <w:t>, Vol 4.</w:t>
      </w:r>
    </w:p>
    <w:p w14:paraId="526705B2" w14:textId="77777777" w:rsidR="00C74E17" w:rsidRPr="001869B5" w:rsidRDefault="00C74E17" w:rsidP="00C74E17">
      <w:pPr>
        <w:spacing w:line="360" w:lineRule="auto"/>
        <w:ind w:left="1440" w:firstLine="720"/>
        <w:rPr>
          <w:rFonts w:ascii="Garamond" w:hAnsi="Garamond"/>
        </w:rPr>
      </w:pPr>
      <w:r w:rsidRPr="001869B5">
        <w:rPr>
          <w:rFonts w:ascii="Garamond" w:hAnsi="Garamond"/>
        </w:rPr>
        <w:t xml:space="preserve">2015. </w:t>
      </w:r>
      <w:r w:rsidRPr="001869B5">
        <w:rPr>
          <w:rFonts w:ascii="Garamond" w:hAnsi="Garamond"/>
          <w:i/>
        </w:rPr>
        <w:t xml:space="preserve">The God We Worship. </w:t>
      </w:r>
      <w:r w:rsidRPr="001869B5">
        <w:rPr>
          <w:rFonts w:ascii="Garamond" w:hAnsi="Garamond"/>
        </w:rPr>
        <w:t>(William B. Eerdmans).</w:t>
      </w:r>
    </w:p>
    <w:p w14:paraId="37EE11A7" w14:textId="46DC8B83" w:rsidR="009D272B" w:rsidRPr="001869B5" w:rsidRDefault="00C017E3" w:rsidP="00B44DA1">
      <w:pPr>
        <w:pStyle w:val="CommentText"/>
        <w:ind w:left="2160"/>
        <w:rPr>
          <w:rFonts w:ascii="Garamond" w:hAnsi="Garamond"/>
          <w:sz w:val="24"/>
          <w:szCs w:val="24"/>
        </w:rPr>
      </w:pPr>
      <w:r w:rsidRPr="001869B5">
        <w:rPr>
          <w:rFonts w:ascii="Garamond" w:hAnsi="Garamond"/>
          <w:sz w:val="24"/>
          <w:szCs w:val="24"/>
        </w:rPr>
        <w:t xml:space="preserve">1990. </w:t>
      </w:r>
      <w:r w:rsidR="002B24BB" w:rsidRPr="001869B5">
        <w:rPr>
          <w:rFonts w:ascii="Garamond" w:hAnsi="Garamond"/>
          <w:sz w:val="24"/>
          <w:szCs w:val="24"/>
        </w:rPr>
        <w:t xml:space="preserve">‘Remembrance of Things (Not) Past’ in </w:t>
      </w:r>
      <w:r w:rsidR="002B24BB" w:rsidRPr="001869B5">
        <w:rPr>
          <w:rFonts w:ascii="Garamond" w:hAnsi="Garamond"/>
          <w:i/>
          <w:sz w:val="24"/>
          <w:szCs w:val="24"/>
        </w:rPr>
        <w:t>Christian Philosophy</w:t>
      </w:r>
      <w:r w:rsidR="00B44DA1">
        <w:rPr>
          <w:rFonts w:ascii="Garamond" w:hAnsi="Garamond"/>
          <w:i/>
          <w:sz w:val="24"/>
          <w:szCs w:val="24"/>
        </w:rPr>
        <w:t xml:space="preserve">, </w:t>
      </w:r>
      <w:r w:rsidR="00B44DA1">
        <w:rPr>
          <w:rFonts w:ascii="Garamond" w:hAnsi="Garamond"/>
          <w:sz w:val="24"/>
          <w:szCs w:val="24"/>
        </w:rPr>
        <w:t xml:space="preserve">edited by Thomas Flint: </w:t>
      </w:r>
      <w:r w:rsidR="00B44DA1" w:rsidRPr="001869B5">
        <w:rPr>
          <w:rFonts w:ascii="Garamond" w:hAnsi="Garamond"/>
          <w:sz w:val="24"/>
          <w:szCs w:val="24"/>
        </w:rPr>
        <w:t>118-61.</w:t>
      </w:r>
      <w:r w:rsidR="00B44DA1">
        <w:rPr>
          <w:rFonts w:ascii="Garamond" w:hAnsi="Garamond"/>
          <w:sz w:val="24"/>
          <w:szCs w:val="24"/>
        </w:rPr>
        <w:t xml:space="preserve"> (</w:t>
      </w:r>
      <w:r w:rsidR="002B24BB" w:rsidRPr="001869B5">
        <w:rPr>
          <w:rFonts w:ascii="Garamond" w:hAnsi="Garamond"/>
          <w:sz w:val="24"/>
          <w:szCs w:val="24"/>
        </w:rPr>
        <w:t>Notre Dame University Press</w:t>
      </w:r>
      <w:r w:rsidR="00B44DA1">
        <w:rPr>
          <w:rFonts w:ascii="Garamond" w:hAnsi="Garamond"/>
          <w:sz w:val="24"/>
          <w:szCs w:val="24"/>
        </w:rPr>
        <w:t>)</w:t>
      </w:r>
      <w:r w:rsidR="002B24BB" w:rsidRPr="001869B5">
        <w:rPr>
          <w:rFonts w:ascii="Garamond" w:hAnsi="Garamond"/>
          <w:sz w:val="24"/>
          <w:szCs w:val="24"/>
        </w:rPr>
        <w:t xml:space="preserve">. </w:t>
      </w:r>
    </w:p>
    <w:sectPr w:rsidR="009D272B" w:rsidRPr="001869B5" w:rsidSect="00D4529D">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5F662" w14:textId="77777777" w:rsidR="006B5EEE" w:rsidRDefault="006B5EEE" w:rsidP="00C74E17">
      <w:r>
        <w:separator/>
      </w:r>
    </w:p>
  </w:endnote>
  <w:endnote w:type="continuationSeparator" w:id="0">
    <w:p w14:paraId="0A5D55A1" w14:textId="77777777" w:rsidR="006B5EEE" w:rsidRDefault="006B5EEE" w:rsidP="00C7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9610F5" w14:textId="77777777" w:rsidR="006B5EEE" w:rsidRDefault="006B5EEE" w:rsidP="00C74E17">
      <w:r>
        <w:separator/>
      </w:r>
    </w:p>
  </w:footnote>
  <w:footnote w:type="continuationSeparator" w:id="0">
    <w:p w14:paraId="245A5364" w14:textId="77777777" w:rsidR="006B5EEE" w:rsidRDefault="006B5EEE" w:rsidP="00C74E17">
      <w:r>
        <w:continuationSeparator/>
      </w:r>
    </w:p>
  </w:footnote>
  <w:footnote w:id="1">
    <w:p w14:paraId="5EFB8144" w14:textId="049DA7BE" w:rsidR="00230A54" w:rsidRPr="00230A54" w:rsidRDefault="00230A54" w:rsidP="00230A54">
      <w:pPr>
        <w:rPr>
          <w:rFonts w:ascii="Times New Roman" w:eastAsia="Times New Roman" w:hAnsi="Times New Roman" w:cs="Times New Roman"/>
        </w:rPr>
      </w:pPr>
      <w:r w:rsidRPr="00230A54">
        <w:rPr>
          <w:rStyle w:val="FootnoteReference"/>
          <w:rFonts w:ascii="Garamond" w:hAnsi="Garamond"/>
          <w:sz w:val="20"/>
          <w:szCs w:val="20"/>
        </w:rPr>
        <w:footnoteRef/>
      </w:r>
      <w:r w:rsidRPr="00230A54">
        <w:rPr>
          <w:rFonts w:ascii="Garamond" w:hAnsi="Garamond"/>
          <w:sz w:val="20"/>
          <w:szCs w:val="20"/>
        </w:rPr>
        <w:t xml:space="preserve"> Moreover, as a referee points out, there is also some normativity in which specifying which rituals and traditions are appropriate. For instance, as I highlighted in the first part of the article, both Cuneo and Wolterstorff describe some instances of thanking God liturgically as more or less appropriate instances of thanking God. Thus, there may be disagreement between traditions on which liturgies are most appropriate</w:t>
      </w:r>
      <w:r w:rsidR="00903846">
        <w:rPr>
          <w:rFonts w:ascii="Garamond" w:hAnsi="Garamond"/>
          <w:sz w:val="20"/>
          <w:szCs w:val="20"/>
        </w:rPr>
        <w:t xml:space="preserve">. </w:t>
      </w:r>
    </w:p>
  </w:footnote>
  <w:footnote w:id="2">
    <w:p w14:paraId="599F3913" w14:textId="2C17FE83" w:rsidR="006E7C7F" w:rsidRPr="009D272B" w:rsidRDefault="006E7C7F" w:rsidP="006E7C7F">
      <w:pPr>
        <w:pStyle w:val="CommentText"/>
        <w:rPr>
          <w:rFonts w:ascii="Garamond" w:hAnsi="Garamond"/>
        </w:rPr>
      </w:pPr>
      <w:r w:rsidRPr="009D272B">
        <w:rPr>
          <w:rStyle w:val="FootnoteReference"/>
          <w:rFonts w:ascii="Garamond" w:hAnsi="Garamond"/>
        </w:rPr>
        <w:footnoteRef/>
      </w:r>
      <w:r w:rsidRPr="009D272B">
        <w:rPr>
          <w:rFonts w:ascii="Garamond" w:hAnsi="Garamond"/>
        </w:rPr>
        <w:t xml:space="preserve"> </w:t>
      </w:r>
      <w:r>
        <w:rPr>
          <w:rFonts w:ascii="Garamond" w:hAnsi="Garamond"/>
        </w:rPr>
        <w:t>For</w:t>
      </w:r>
      <w:r w:rsidRPr="009D272B">
        <w:rPr>
          <w:rFonts w:ascii="Garamond" w:hAnsi="Garamond"/>
        </w:rPr>
        <w:t xml:space="preserve"> recent work on the epistemology of knowing persons see: Benton 2017; Code 2015; Lauer 2014</w:t>
      </w:r>
      <w:r>
        <w:rPr>
          <w:rFonts w:ascii="Garamond" w:hAnsi="Garamond"/>
        </w:rPr>
        <w:t>; Stump 2010 (Chapters 3 and 4); Talber</w:t>
      </w:r>
      <w:r w:rsidR="00EF49DA">
        <w:rPr>
          <w:rFonts w:ascii="Garamond" w:hAnsi="Garamond"/>
        </w:rPr>
        <w:t>t</w:t>
      </w:r>
      <w:r>
        <w:rPr>
          <w:rFonts w:ascii="Garamond" w:hAnsi="Garamond"/>
        </w:rPr>
        <w:t xml:space="preserve"> (2015).</w:t>
      </w:r>
    </w:p>
  </w:footnote>
  <w:footnote w:id="3">
    <w:p w14:paraId="7A034F3A" w14:textId="2F8BC21B" w:rsidR="000874FA" w:rsidRPr="00D9406D" w:rsidRDefault="000874FA" w:rsidP="000874FA">
      <w:pPr>
        <w:pStyle w:val="FootnoteText"/>
        <w:rPr>
          <w:color w:val="000000" w:themeColor="text1"/>
        </w:rPr>
      </w:pPr>
      <w:r w:rsidRPr="00D9406D">
        <w:rPr>
          <w:rStyle w:val="FootnoteReference"/>
          <w:color w:val="000000" w:themeColor="text1"/>
        </w:rPr>
        <w:footnoteRef/>
      </w:r>
      <w:r w:rsidRPr="00D9406D">
        <w:rPr>
          <w:color w:val="000000" w:themeColor="text1"/>
        </w:rPr>
        <w:t xml:space="preserve"> There are some philosophers who think that what Mary acquires is not a kind of phenomenal knowledge or a kind of propositional knowledge, </w:t>
      </w:r>
      <w:r>
        <w:rPr>
          <w:color w:val="000000" w:themeColor="text1"/>
        </w:rPr>
        <w:t>but, rather</w:t>
      </w:r>
      <w:r w:rsidRPr="00D9406D">
        <w:rPr>
          <w:color w:val="000000" w:themeColor="text1"/>
        </w:rPr>
        <w:t xml:space="preserve">, she acquires a kind of know-how of how to identify redness (Lewis, 2004). For an overview of these different accounts, see Ludlow, Nagasawa and </w:t>
      </w:r>
      <w:proofErr w:type="spellStart"/>
      <w:r w:rsidRPr="00D9406D">
        <w:rPr>
          <w:color w:val="000000" w:themeColor="text1"/>
        </w:rPr>
        <w:t>Stoljar</w:t>
      </w:r>
      <w:proofErr w:type="spellEnd"/>
      <w:r w:rsidRPr="00D9406D">
        <w:rPr>
          <w:color w:val="000000" w:themeColor="text1"/>
        </w:rPr>
        <w:t xml:space="preserve"> 2004.</w:t>
      </w:r>
    </w:p>
  </w:footnote>
  <w:footnote w:id="4">
    <w:p w14:paraId="5F9C0FD3" w14:textId="1A1A0B7B" w:rsidR="00B307E8" w:rsidRDefault="00B307E8">
      <w:pPr>
        <w:pStyle w:val="FootnoteText"/>
      </w:pPr>
      <w:r>
        <w:rPr>
          <w:rStyle w:val="FootnoteReference"/>
        </w:rPr>
        <w:footnoteRef/>
      </w:r>
      <w:r>
        <w:t xml:space="preserve"> </w:t>
      </w:r>
      <w:r w:rsidRPr="001869B5">
        <w:rPr>
          <w:rFonts w:eastAsia="Times New Roman"/>
          <w:color w:val="000000"/>
          <w:lang w:eastAsia="en-GB"/>
        </w:rPr>
        <w:t xml:space="preserve">This account of narrative engagement </w:t>
      </w:r>
      <w:r w:rsidR="00903846">
        <w:rPr>
          <w:rFonts w:eastAsia="Times New Roman"/>
          <w:color w:val="000000"/>
          <w:lang w:eastAsia="en-GB"/>
        </w:rPr>
        <w:t xml:space="preserve">also </w:t>
      </w:r>
      <w:r w:rsidRPr="001869B5">
        <w:rPr>
          <w:rFonts w:eastAsia="Times New Roman"/>
          <w:color w:val="000000"/>
          <w:lang w:eastAsia="en-GB"/>
        </w:rPr>
        <w:t>comes close to how Smith describes the role of liturgical narrative</w:t>
      </w:r>
      <w:r>
        <w:rPr>
          <w:rFonts w:eastAsia="Times New Roman"/>
          <w:color w:val="000000"/>
          <w:lang w:eastAsia="en-GB"/>
        </w:rPr>
        <w:t xml:space="preserve">, which I describe in the next section. </w:t>
      </w:r>
    </w:p>
  </w:footnote>
  <w:footnote w:id="5">
    <w:p w14:paraId="254FE107" w14:textId="5BC3C98B" w:rsidR="00903846" w:rsidRDefault="00903846">
      <w:pPr>
        <w:pStyle w:val="FootnoteText"/>
      </w:pPr>
      <w:r>
        <w:rPr>
          <w:rStyle w:val="FootnoteReference"/>
        </w:rPr>
        <w:footnoteRef/>
      </w:r>
      <w:r>
        <w:t xml:space="preserve"> In his earlier paper, Green (2009) gives a more general account of mystical experience of God understood through the lens of shared-attention. These kinds of experience of God might be more prevalent in charismatic and </w:t>
      </w:r>
      <w:proofErr w:type="spellStart"/>
      <w:r>
        <w:t>pentecostal</w:t>
      </w:r>
      <w:proofErr w:type="spellEnd"/>
      <w:r>
        <w:t xml:space="preserve"> Churches, even if no written script is used.  </w:t>
      </w:r>
    </w:p>
  </w:footnote>
  <w:footnote w:id="6">
    <w:p w14:paraId="2D72A61A" w14:textId="77777777" w:rsidR="00964406" w:rsidRPr="009D272B" w:rsidRDefault="00964406" w:rsidP="00964406">
      <w:pPr>
        <w:pStyle w:val="FootnoteText"/>
      </w:pPr>
      <w:r w:rsidRPr="009D272B">
        <w:rPr>
          <w:rStyle w:val="FootnoteReference"/>
        </w:rPr>
        <w:footnoteRef/>
      </w:r>
      <w:r w:rsidRPr="009D272B">
        <w:t xml:space="preserve"> See Seemann (ed.), 2011; </w:t>
      </w:r>
      <w:proofErr w:type="spellStart"/>
      <w:r w:rsidRPr="009D272B">
        <w:t>Eilan</w:t>
      </w:r>
      <w:proofErr w:type="spellEnd"/>
      <w:r w:rsidRPr="009D272B">
        <w:t xml:space="preserve">, et al. (eds.), 2005. </w:t>
      </w:r>
    </w:p>
  </w:footnote>
  <w:footnote w:id="7">
    <w:p w14:paraId="0633B3D9" w14:textId="188894CA" w:rsidR="00957C3F" w:rsidRPr="00957C3F" w:rsidRDefault="00957C3F" w:rsidP="00957C3F">
      <w:pPr>
        <w:rPr>
          <w:rFonts w:ascii="Garamond" w:eastAsia="Times New Roman" w:hAnsi="Garamond" w:cs="Times New Roman"/>
          <w:sz w:val="20"/>
          <w:szCs w:val="20"/>
        </w:rPr>
      </w:pPr>
      <w:r w:rsidRPr="00957C3F">
        <w:rPr>
          <w:rStyle w:val="FootnoteReference"/>
          <w:rFonts w:ascii="Garamond" w:hAnsi="Garamond"/>
          <w:sz w:val="20"/>
          <w:szCs w:val="20"/>
        </w:rPr>
        <w:footnoteRef/>
      </w:r>
      <w:r w:rsidRPr="00957C3F">
        <w:rPr>
          <w:rFonts w:ascii="Garamond" w:hAnsi="Garamond"/>
          <w:sz w:val="20"/>
          <w:szCs w:val="20"/>
        </w:rPr>
        <w:t xml:space="preserve"> For a discussion of the reducibility of know-how to know-that, see </w:t>
      </w:r>
      <w:proofErr w:type="spellStart"/>
      <w:r w:rsidRPr="00957C3F">
        <w:rPr>
          <w:rFonts w:ascii="Garamond" w:eastAsia="Times New Roman" w:hAnsi="Garamond" w:cs="Times New Roman"/>
          <w:color w:val="1A1A1A"/>
          <w:sz w:val="20"/>
          <w:szCs w:val="20"/>
          <w:shd w:val="clear" w:color="auto" w:fill="FFFFFF"/>
        </w:rPr>
        <w:t>Noë</w:t>
      </w:r>
      <w:proofErr w:type="spellEnd"/>
      <w:r w:rsidRPr="00957C3F">
        <w:rPr>
          <w:rFonts w:ascii="Garamond" w:eastAsia="Times New Roman" w:hAnsi="Garamond" w:cs="Times New Roman"/>
          <w:color w:val="1A1A1A"/>
          <w:sz w:val="20"/>
          <w:szCs w:val="20"/>
          <w:shd w:val="clear" w:color="auto" w:fill="FFFFFF"/>
        </w:rPr>
        <w:t xml:space="preserve"> 2005; </w:t>
      </w:r>
      <w:r w:rsidRPr="00957C3F">
        <w:rPr>
          <w:rFonts w:ascii="Garamond" w:hAnsi="Garamond"/>
          <w:sz w:val="20"/>
          <w:szCs w:val="20"/>
        </w:rPr>
        <w:t>Stanley and Williamson 2001.</w:t>
      </w:r>
    </w:p>
  </w:footnote>
  <w:footnote w:id="8">
    <w:p w14:paraId="1635F441" w14:textId="77777777" w:rsidR="00B927F0" w:rsidRPr="009D272B" w:rsidRDefault="00B927F0" w:rsidP="00C74E17">
      <w:pPr>
        <w:pStyle w:val="FootnoteText"/>
      </w:pPr>
      <w:r w:rsidRPr="009D272B">
        <w:rPr>
          <w:rStyle w:val="FootnoteReference"/>
        </w:rPr>
        <w:footnoteRef/>
      </w:r>
      <w:r w:rsidRPr="009D272B">
        <w:t xml:space="preserve"> Wolterstorff also briefly considers the role of know how (2018, 22-23).</w:t>
      </w:r>
    </w:p>
  </w:footnote>
  <w:footnote w:id="9">
    <w:p w14:paraId="020DA311" w14:textId="2F906750" w:rsidR="00317582" w:rsidRDefault="007558F8" w:rsidP="007558F8">
      <w:pPr>
        <w:pStyle w:val="FootnoteText"/>
      </w:pPr>
      <w:r w:rsidRPr="00750007">
        <w:rPr>
          <w:rStyle w:val="FootnoteReference"/>
        </w:rPr>
        <w:footnoteRef/>
      </w:r>
      <w:r w:rsidRPr="00750007">
        <w:t xml:space="preserve"> Another interesting contribution to this area of ritual epistemology can be found in </w:t>
      </w:r>
      <w:proofErr w:type="spellStart"/>
      <w:r w:rsidRPr="00750007">
        <w:t>Dru</w:t>
      </w:r>
      <w:proofErr w:type="spellEnd"/>
      <w:r w:rsidRPr="00750007">
        <w:t xml:space="preserve"> Johnson’s (</w:t>
      </w:r>
      <w:r w:rsidRPr="00750007">
        <w:rPr>
          <w:color w:val="000000" w:themeColor="text1"/>
        </w:rPr>
        <w:t>2016, 2018</w:t>
      </w:r>
      <w:r w:rsidRPr="00750007">
        <w:t>) work on scriptural epistemology. Johnson approaches the topic as a biblical scholar but draws his work into conversation with contemporary epistemology.</w:t>
      </w:r>
      <w:r>
        <w:t xml:space="preserve"> </w:t>
      </w:r>
      <w:r w:rsidR="00317582" w:rsidRPr="00317582">
        <w:rPr>
          <w:rFonts w:eastAsia="Times New Roman"/>
        </w:rPr>
        <w:t xml:space="preserve">As highlighted in part 1 of this article, the question of which actions </w:t>
      </w:r>
      <w:r w:rsidR="00317582" w:rsidRPr="00317582">
        <w:rPr>
          <w:rFonts w:eastAsia="Times New Roman"/>
          <w:i/>
        </w:rPr>
        <w:t xml:space="preserve">count </w:t>
      </w:r>
      <w:r w:rsidR="00317582" w:rsidRPr="00317582">
        <w:rPr>
          <w:rFonts w:eastAsia="Times New Roman"/>
        </w:rPr>
        <w:t>as instances of blessing, thanking and petitioning God will often be tradition dependent. However, as Cuneo highlights, we can make a difference between successfully thanking God and appropriately thanking God</w:t>
      </w:r>
      <w:r w:rsidR="00317582">
        <w:rPr>
          <w:rFonts w:eastAsia="Times New Roman"/>
        </w:rPr>
        <w:t xml:space="preserve"> (2016, 157-58)</w:t>
      </w:r>
      <w:r w:rsidR="00317582" w:rsidRPr="00317582">
        <w:rPr>
          <w:rFonts w:eastAsia="Times New Roman"/>
        </w:rPr>
        <w:t xml:space="preserve">. For successfully thanking God, all that is needed is the right sort of intention that one’s bodily action counts as thanking God. The question of appropriate thanking </w:t>
      </w:r>
      <w:r w:rsidR="00317582">
        <w:rPr>
          <w:rFonts w:eastAsia="Times New Roman"/>
        </w:rPr>
        <w:t xml:space="preserve">is a question which may depend on the particular tradition one is participating in. Moreover, there will be some disagreement between traditions concerning just which instances of thanking God are most appropriate. </w:t>
      </w:r>
    </w:p>
  </w:footnote>
  <w:footnote w:id="10">
    <w:p w14:paraId="0C8DCA75" w14:textId="642E419A" w:rsidR="00B927F0" w:rsidRPr="00B927F0" w:rsidRDefault="00B927F0" w:rsidP="00B927F0">
      <w:pPr>
        <w:pStyle w:val="NormalWeb"/>
        <w:spacing w:before="0" w:beforeAutospacing="0" w:after="160" w:afterAutospacing="0"/>
        <w:rPr>
          <w:sz w:val="20"/>
          <w:szCs w:val="20"/>
        </w:rPr>
      </w:pPr>
      <w:r w:rsidRPr="009F4034">
        <w:rPr>
          <w:rStyle w:val="FootnoteReference"/>
          <w:sz w:val="20"/>
          <w:szCs w:val="20"/>
        </w:rPr>
        <w:footnoteRef/>
      </w:r>
      <w:r w:rsidRPr="009F4034">
        <w:rPr>
          <w:sz w:val="20"/>
          <w:szCs w:val="20"/>
        </w:rPr>
        <w:t xml:space="preserve"> </w:t>
      </w:r>
      <w:r w:rsidRPr="009F4034">
        <w:rPr>
          <w:rFonts w:ascii="Garamond" w:hAnsi="Garamond"/>
          <w:color w:val="000000"/>
          <w:sz w:val="20"/>
          <w:szCs w:val="20"/>
        </w:rPr>
        <w:t xml:space="preserve">A major barrier to the plausibility of Cuneo’s thesis is the question of whether or not intellectualism is true. The disagreement between intellectualism (the thesis that all knowing is a species of knowing </w:t>
      </w:r>
      <w:r w:rsidRPr="009F4034">
        <w:rPr>
          <w:rFonts w:ascii="Garamond" w:hAnsi="Garamond"/>
          <w:i/>
          <w:iCs/>
          <w:color w:val="000000"/>
          <w:sz w:val="20"/>
          <w:szCs w:val="20"/>
        </w:rPr>
        <w:t>that</w:t>
      </w:r>
      <w:r w:rsidRPr="009F4034">
        <w:rPr>
          <w:rFonts w:ascii="Garamond" w:hAnsi="Garamond"/>
          <w:color w:val="000000"/>
          <w:sz w:val="20"/>
          <w:szCs w:val="20"/>
        </w:rPr>
        <w:t xml:space="preserve">) and anti-intellectualism (the thesis that it is not the case that all knowing is a species of knowing </w:t>
      </w:r>
      <w:r w:rsidRPr="009F4034">
        <w:rPr>
          <w:rFonts w:ascii="Garamond" w:hAnsi="Garamond"/>
          <w:i/>
          <w:iCs/>
          <w:color w:val="000000"/>
          <w:sz w:val="20"/>
          <w:szCs w:val="20"/>
        </w:rPr>
        <w:t>that</w:t>
      </w:r>
      <w:r w:rsidRPr="009F4034">
        <w:rPr>
          <w:rFonts w:ascii="Garamond" w:hAnsi="Garamond"/>
          <w:color w:val="000000"/>
          <w:sz w:val="20"/>
          <w:szCs w:val="20"/>
        </w:rPr>
        <w:t>) is a complex and contentious issue that Cuneo can certainly not hope to resolve in twenty pages. However, he gives some considerations in favour of what he describes as his ‘moderate view’ (2014, 371), namely, that knowing-how is ‘a sequence of act types that an agent can perform’, such as ‘Performing a work of music, swimming the crawl…and offer[</w:t>
      </w:r>
      <w:proofErr w:type="spellStart"/>
      <w:r w:rsidRPr="009F4034">
        <w:rPr>
          <w:rFonts w:ascii="Garamond" w:hAnsi="Garamond"/>
          <w:color w:val="000000"/>
          <w:sz w:val="20"/>
          <w:szCs w:val="20"/>
        </w:rPr>
        <w:t>ing</w:t>
      </w:r>
      <w:proofErr w:type="spellEnd"/>
      <w:r w:rsidRPr="009F4034">
        <w:rPr>
          <w:rFonts w:ascii="Garamond" w:hAnsi="Garamond"/>
          <w:color w:val="000000"/>
          <w:sz w:val="20"/>
          <w:szCs w:val="20"/>
        </w:rPr>
        <w:t xml:space="preserve">] thanks to God’ (2014, 371). However, regardless of whether or not intellectualism is true, Cuneo’s thesis is still important. Cuneo admits that his is not the only way of understanding practical knowledge, and states that ‘those unsympathetic with the moderate position—say, those who identify knowing how with a special sort of knowing that—should feel free to attempt to translate what I say into the idioms that belong to their </w:t>
      </w:r>
      <w:proofErr w:type="spellStart"/>
      <w:r w:rsidRPr="009F4034">
        <w:rPr>
          <w:rFonts w:ascii="Garamond" w:hAnsi="Garamond"/>
          <w:color w:val="000000"/>
          <w:sz w:val="20"/>
          <w:szCs w:val="20"/>
        </w:rPr>
        <w:t>favored</w:t>
      </w:r>
      <w:proofErr w:type="spellEnd"/>
      <w:r w:rsidRPr="009F4034">
        <w:rPr>
          <w:rFonts w:ascii="Garamond" w:hAnsi="Garamond"/>
          <w:color w:val="000000"/>
          <w:sz w:val="20"/>
          <w:szCs w:val="20"/>
        </w:rPr>
        <w:t xml:space="preserve"> version of knowing how</w:t>
      </w:r>
      <w:r w:rsidR="00606267">
        <w:rPr>
          <w:rFonts w:ascii="Garamond" w:hAnsi="Garamond"/>
          <w:color w:val="000000"/>
          <w:sz w:val="20"/>
          <w:szCs w:val="20"/>
        </w:rPr>
        <w:t>’</w:t>
      </w:r>
      <w:r w:rsidRPr="009F4034">
        <w:rPr>
          <w:rFonts w:ascii="Garamond" w:hAnsi="Garamond"/>
          <w:color w:val="000000"/>
          <w:sz w:val="20"/>
          <w:szCs w:val="20"/>
        </w:rPr>
        <w:t xml:space="preserve"> (2014, 370). Even if know-how is reducible to knowledge-that, typically the intellectualist understands gaining know-how as an example coming to know a proposition in a ‘practical mode of presentation’ (Stanley and Williamson,</w:t>
      </w:r>
      <w:r>
        <w:rPr>
          <w:rFonts w:ascii="Garamond" w:hAnsi="Garamond"/>
          <w:color w:val="000000"/>
          <w:sz w:val="20"/>
          <w:szCs w:val="20"/>
        </w:rPr>
        <w:t xml:space="preserve"> </w:t>
      </w:r>
      <w:r w:rsidRPr="009F4034">
        <w:rPr>
          <w:rFonts w:ascii="Garamond" w:hAnsi="Garamond"/>
          <w:color w:val="000000"/>
          <w:sz w:val="20"/>
          <w:szCs w:val="20"/>
        </w:rPr>
        <w:t>2001, 427) or ‘practical way of thinking’ (Stanley, 2011, 130). Even this very thin notion of knowing-how, however, is compatible with Cuneo’s thesis—the individual improves her epistemic state</w:t>
      </w:r>
      <w:r w:rsidR="007558F8">
        <w:rPr>
          <w:rFonts w:ascii="Garamond" w:hAnsi="Garamond"/>
          <w:color w:val="000000"/>
          <w:sz w:val="20"/>
          <w:szCs w:val="20"/>
        </w:rPr>
        <w:t xml:space="preserve"> by learning how to ride a bike.</w:t>
      </w:r>
    </w:p>
  </w:footnote>
  <w:footnote w:id="11">
    <w:p w14:paraId="45C9E173" w14:textId="39BE80BC" w:rsidR="00317582" w:rsidRDefault="00317582">
      <w:pPr>
        <w:pStyle w:val="FootnoteText"/>
      </w:pPr>
      <w:r>
        <w:rPr>
          <w:rStyle w:val="FootnoteReference"/>
        </w:rPr>
        <w:footnoteRef/>
      </w:r>
      <w:r w:rsidR="00903846">
        <w:t xml:space="preserve"> M</w:t>
      </w:r>
      <w:r>
        <w:t xml:space="preserve">uch of the philosophical literature on liturgy overlaps and conflicts with work by ritual theorist. There is a varying degree of success in the critical engagement with this literature. Sadly, there is not space here to unpack the engagement between these two literatures. </w:t>
      </w:r>
    </w:p>
  </w:footnote>
  <w:footnote w:id="12">
    <w:p w14:paraId="146AA064" w14:textId="28CDB12D" w:rsidR="00317582" w:rsidRDefault="00317582">
      <w:pPr>
        <w:pStyle w:val="FootnoteText"/>
      </w:pPr>
      <w:r>
        <w:rPr>
          <w:rStyle w:val="FootnoteReference"/>
        </w:rPr>
        <w:footnoteRef/>
      </w:r>
      <w:r>
        <w:t xml:space="preserve"> As a referee helpfully points out, whilst repetition might help to form ritual knowledge, not all religious rituals are repetitive. Baptism and circumcision happen only once, for instance. And so, this analysis will not straightforwardly explain the epistemology of all liturgy. Whilst there is not space for a detailed discussion of this point, it is important to note here that even if some liturgical events happen only once, they are embedded in a wider liturgical story and </w:t>
      </w:r>
      <w:r w:rsidR="00903846">
        <w:t>form</w:t>
      </w:r>
      <w:r>
        <w:t xml:space="preserve"> part of a wider community. Thus, whilst the baptism ritual happens only once in a person’s life, it is repeated many times within a community, so some repetition may still be present. Moreover, just as a marriage is a one-time event i</w:t>
      </w:r>
      <w:r w:rsidR="00903846">
        <w:t xml:space="preserve">n a relationship </w:t>
      </w:r>
      <w:r>
        <w:t xml:space="preserve">which has a profound effect on one’s know-how of one’s spouse, baptism can play a significant role in one’s knowing-how to engage God, even if it is not repetitive. The reason being (I assume) is because both events (baptism and marriage) are rituals which involve one’s commitment to the task of engaging the other person repeatedly for the rest of one’s life. Additionally, as Cuneo describes it, the </w:t>
      </w:r>
      <w:proofErr w:type="spellStart"/>
      <w:r>
        <w:t>baptizmal</w:t>
      </w:r>
      <w:proofErr w:type="spellEnd"/>
      <w:r>
        <w:t xml:space="preserve"> rite is ‘one in which the one baptized is understood to undergo transformation’ (2016, 171) in which one becomes disposed toward forming certain character traits and forming a greater understanding of Gospel (2016, 181). Such states are developed by the Holy Spirit and the community in relation to the </w:t>
      </w:r>
      <w:proofErr w:type="spellStart"/>
      <w:r>
        <w:t>bapitzed</w:t>
      </w:r>
      <w:proofErr w:type="spellEnd"/>
      <w:r>
        <w:t xml:space="preserve"> (2016, 182). Thus, if such a transformation takes place, one would surely be more disposed to engage God more, and thereby, to know-how to engage God more.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11CE0"/>
    <w:multiLevelType w:val="multilevel"/>
    <w:tmpl w:val="EDB85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E17"/>
    <w:rsid w:val="000029D2"/>
    <w:rsid w:val="00003654"/>
    <w:rsid w:val="00073FFD"/>
    <w:rsid w:val="000874FA"/>
    <w:rsid w:val="000A4ACE"/>
    <w:rsid w:val="001869B5"/>
    <w:rsid w:val="001A2D4B"/>
    <w:rsid w:val="001C7B97"/>
    <w:rsid w:val="001F0B30"/>
    <w:rsid w:val="00230A54"/>
    <w:rsid w:val="00244130"/>
    <w:rsid w:val="00277F56"/>
    <w:rsid w:val="002824E6"/>
    <w:rsid w:val="002B24BB"/>
    <w:rsid w:val="002C1856"/>
    <w:rsid w:val="00306220"/>
    <w:rsid w:val="00317582"/>
    <w:rsid w:val="00324EBB"/>
    <w:rsid w:val="003B0742"/>
    <w:rsid w:val="003E22A4"/>
    <w:rsid w:val="00407913"/>
    <w:rsid w:val="00446966"/>
    <w:rsid w:val="00485AB8"/>
    <w:rsid w:val="00493698"/>
    <w:rsid w:val="004F4D2F"/>
    <w:rsid w:val="0055485D"/>
    <w:rsid w:val="005C04AE"/>
    <w:rsid w:val="005D01E3"/>
    <w:rsid w:val="00606267"/>
    <w:rsid w:val="0064606A"/>
    <w:rsid w:val="006B5EEE"/>
    <w:rsid w:val="006E7C7F"/>
    <w:rsid w:val="006F7267"/>
    <w:rsid w:val="00750007"/>
    <w:rsid w:val="007558F8"/>
    <w:rsid w:val="007863B1"/>
    <w:rsid w:val="007D4E7D"/>
    <w:rsid w:val="00883AD6"/>
    <w:rsid w:val="008B5467"/>
    <w:rsid w:val="00903846"/>
    <w:rsid w:val="00957C3F"/>
    <w:rsid w:val="00964406"/>
    <w:rsid w:val="00972ACE"/>
    <w:rsid w:val="009A7EA4"/>
    <w:rsid w:val="009D272B"/>
    <w:rsid w:val="009E5F9B"/>
    <w:rsid w:val="009F4034"/>
    <w:rsid w:val="00A5422E"/>
    <w:rsid w:val="00A557DD"/>
    <w:rsid w:val="00A9744E"/>
    <w:rsid w:val="00B2712A"/>
    <w:rsid w:val="00B307E8"/>
    <w:rsid w:val="00B36EEC"/>
    <w:rsid w:val="00B40A81"/>
    <w:rsid w:val="00B44DA1"/>
    <w:rsid w:val="00B8605F"/>
    <w:rsid w:val="00B9066F"/>
    <w:rsid w:val="00B927F0"/>
    <w:rsid w:val="00B9669F"/>
    <w:rsid w:val="00BC7A76"/>
    <w:rsid w:val="00BF54FF"/>
    <w:rsid w:val="00C017E3"/>
    <w:rsid w:val="00C74E17"/>
    <w:rsid w:val="00CA1336"/>
    <w:rsid w:val="00CE6B5D"/>
    <w:rsid w:val="00D022E8"/>
    <w:rsid w:val="00D4529D"/>
    <w:rsid w:val="00D55C4E"/>
    <w:rsid w:val="00D835D0"/>
    <w:rsid w:val="00D8370B"/>
    <w:rsid w:val="00D9406D"/>
    <w:rsid w:val="00DA2B38"/>
    <w:rsid w:val="00E14079"/>
    <w:rsid w:val="00E372E1"/>
    <w:rsid w:val="00ED617E"/>
    <w:rsid w:val="00EF49DA"/>
    <w:rsid w:val="00EF57FB"/>
    <w:rsid w:val="00F12E8E"/>
    <w:rsid w:val="00F25508"/>
    <w:rsid w:val="00F27E6E"/>
    <w:rsid w:val="00F70140"/>
    <w:rsid w:val="00FA2E77"/>
    <w:rsid w:val="00FA3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EE481"/>
  <w14:defaultImageDpi w14:val="32767"/>
  <w15:chartTrackingRefBased/>
  <w15:docId w15:val="{FF76CD05-8BAA-B246-B143-40E2B4CEC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4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74E17"/>
    <w:rPr>
      <w:rFonts w:ascii="Garamond" w:eastAsia="Calibri" w:hAnsi="Garamond" w:cs="Times New Roman"/>
      <w:sz w:val="20"/>
      <w:szCs w:val="20"/>
    </w:rPr>
  </w:style>
  <w:style w:type="character" w:customStyle="1" w:styleId="FootnoteTextChar">
    <w:name w:val="Footnote Text Char"/>
    <w:basedOn w:val="DefaultParagraphFont"/>
    <w:link w:val="FootnoteText"/>
    <w:uiPriority w:val="99"/>
    <w:rsid w:val="00C74E17"/>
    <w:rPr>
      <w:rFonts w:ascii="Garamond" w:eastAsia="Calibri" w:hAnsi="Garamond" w:cs="Times New Roman"/>
      <w:sz w:val="20"/>
      <w:szCs w:val="20"/>
    </w:rPr>
  </w:style>
  <w:style w:type="character" w:styleId="FootnoteReference">
    <w:name w:val="footnote reference"/>
    <w:uiPriority w:val="99"/>
    <w:unhideWhenUsed/>
    <w:rsid w:val="00C74E17"/>
    <w:rPr>
      <w:vertAlign w:val="superscript"/>
    </w:rPr>
  </w:style>
  <w:style w:type="paragraph" w:styleId="NoSpacing">
    <w:name w:val="No Spacing"/>
    <w:uiPriority w:val="1"/>
    <w:qFormat/>
    <w:rsid w:val="00C74E17"/>
  </w:style>
  <w:style w:type="character" w:customStyle="1" w:styleId="a-size-large">
    <w:name w:val="a-size-large"/>
    <w:basedOn w:val="DefaultParagraphFont"/>
    <w:rsid w:val="00C74E17"/>
  </w:style>
  <w:style w:type="character" w:styleId="CommentReference">
    <w:name w:val="annotation reference"/>
    <w:basedOn w:val="DefaultParagraphFont"/>
    <w:uiPriority w:val="99"/>
    <w:semiHidden/>
    <w:unhideWhenUsed/>
    <w:rsid w:val="00C74E17"/>
    <w:rPr>
      <w:sz w:val="16"/>
      <w:szCs w:val="16"/>
    </w:rPr>
  </w:style>
  <w:style w:type="paragraph" w:styleId="CommentText">
    <w:name w:val="annotation text"/>
    <w:basedOn w:val="Normal"/>
    <w:link w:val="CommentTextChar"/>
    <w:uiPriority w:val="99"/>
    <w:unhideWhenUsed/>
    <w:rsid w:val="00C74E17"/>
    <w:rPr>
      <w:sz w:val="20"/>
      <w:szCs w:val="20"/>
    </w:rPr>
  </w:style>
  <w:style w:type="character" w:customStyle="1" w:styleId="CommentTextChar">
    <w:name w:val="Comment Text Char"/>
    <w:basedOn w:val="DefaultParagraphFont"/>
    <w:link w:val="CommentText"/>
    <w:uiPriority w:val="99"/>
    <w:rsid w:val="00C74E17"/>
    <w:rPr>
      <w:sz w:val="20"/>
      <w:szCs w:val="20"/>
    </w:rPr>
  </w:style>
  <w:style w:type="paragraph" w:styleId="BalloonText">
    <w:name w:val="Balloon Text"/>
    <w:basedOn w:val="Normal"/>
    <w:link w:val="BalloonTextChar"/>
    <w:uiPriority w:val="99"/>
    <w:semiHidden/>
    <w:unhideWhenUsed/>
    <w:rsid w:val="00C74E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74E17"/>
    <w:rPr>
      <w:rFonts w:ascii="Times New Roman" w:hAnsi="Times New Roman" w:cs="Times New Roman"/>
      <w:sz w:val="18"/>
      <w:szCs w:val="18"/>
    </w:rPr>
  </w:style>
  <w:style w:type="paragraph" w:styleId="Header">
    <w:name w:val="header"/>
    <w:basedOn w:val="Normal"/>
    <w:link w:val="HeaderChar"/>
    <w:uiPriority w:val="99"/>
    <w:unhideWhenUsed/>
    <w:rsid w:val="009F4034"/>
    <w:pPr>
      <w:tabs>
        <w:tab w:val="center" w:pos="4513"/>
        <w:tab w:val="right" w:pos="9026"/>
      </w:tabs>
    </w:pPr>
  </w:style>
  <w:style w:type="character" w:customStyle="1" w:styleId="HeaderChar">
    <w:name w:val="Header Char"/>
    <w:basedOn w:val="DefaultParagraphFont"/>
    <w:link w:val="Header"/>
    <w:uiPriority w:val="99"/>
    <w:rsid w:val="009F4034"/>
  </w:style>
  <w:style w:type="paragraph" w:styleId="Footer">
    <w:name w:val="footer"/>
    <w:basedOn w:val="Normal"/>
    <w:link w:val="FooterChar"/>
    <w:uiPriority w:val="99"/>
    <w:unhideWhenUsed/>
    <w:rsid w:val="009F4034"/>
    <w:pPr>
      <w:tabs>
        <w:tab w:val="center" w:pos="4513"/>
        <w:tab w:val="right" w:pos="9026"/>
      </w:tabs>
    </w:pPr>
  </w:style>
  <w:style w:type="character" w:customStyle="1" w:styleId="FooterChar">
    <w:name w:val="Footer Char"/>
    <w:basedOn w:val="DefaultParagraphFont"/>
    <w:link w:val="Footer"/>
    <w:uiPriority w:val="99"/>
    <w:rsid w:val="009F4034"/>
  </w:style>
  <w:style w:type="paragraph" w:styleId="NormalWeb">
    <w:name w:val="Normal (Web)"/>
    <w:basedOn w:val="Normal"/>
    <w:uiPriority w:val="99"/>
    <w:unhideWhenUsed/>
    <w:rsid w:val="009F4034"/>
    <w:pPr>
      <w:spacing w:before="100" w:beforeAutospacing="1" w:after="100" w:afterAutospacing="1"/>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5485D"/>
    <w:rPr>
      <w:b/>
      <w:bCs/>
    </w:rPr>
  </w:style>
  <w:style w:type="character" w:customStyle="1" w:styleId="CommentSubjectChar">
    <w:name w:val="Comment Subject Char"/>
    <w:basedOn w:val="CommentTextChar"/>
    <w:link w:val="CommentSubject"/>
    <w:uiPriority w:val="99"/>
    <w:semiHidden/>
    <w:rsid w:val="0055485D"/>
    <w:rPr>
      <w:b/>
      <w:bCs/>
      <w:sz w:val="20"/>
      <w:szCs w:val="20"/>
    </w:rPr>
  </w:style>
  <w:style w:type="paragraph" w:styleId="Revision">
    <w:name w:val="Revision"/>
    <w:hidden/>
    <w:uiPriority w:val="99"/>
    <w:semiHidden/>
    <w:rsid w:val="000874FA"/>
  </w:style>
  <w:style w:type="character" w:styleId="Emphasis">
    <w:name w:val="Emphasis"/>
    <w:basedOn w:val="DefaultParagraphFont"/>
    <w:uiPriority w:val="20"/>
    <w:qFormat/>
    <w:rsid w:val="00957C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9441">
      <w:bodyDiv w:val="1"/>
      <w:marLeft w:val="0"/>
      <w:marRight w:val="0"/>
      <w:marTop w:val="0"/>
      <w:marBottom w:val="0"/>
      <w:divBdr>
        <w:top w:val="none" w:sz="0" w:space="0" w:color="auto"/>
        <w:left w:val="none" w:sz="0" w:space="0" w:color="auto"/>
        <w:bottom w:val="none" w:sz="0" w:space="0" w:color="auto"/>
        <w:right w:val="none" w:sz="0" w:space="0" w:color="auto"/>
      </w:divBdr>
    </w:div>
    <w:div w:id="244539085">
      <w:bodyDiv w:val="1"/>
      <w:marLeft w:val="0"/>
      <w:marRight w:val="0"/>
      <w:marTop w:val="0"/>
      <w:marBottom w:val="0"/>
      <w:divBdr>
        <w:top w:val="none" w:sz="0" w:space="0" w:color="auto"/>
        <w:left w:val="none" w:sz="0" w:space="0" w:color="auto"/>
        <w:bottom w:val="none" w:sz="0" w:space="0" w:color="auto"/>
        <w:right w:val="none" w:sz="0" w:space="0" w:color="auto"/>
      </w:divBdr>
    </w:div>
    <w:div w:id="347564291">
      <w:bodyDiv w:val="1"/>
      <w:marLeft w:val="0"/>
      <w:marRight w:val="0"/>
      <w:marTop w:val="0"/>
      <w:marBottom w:val="0"/>
      <w:divBdr>
        <w:top w:val="none" w:sz="0" w:space="0" w:color="auto"/>
        <w:left w:val="none" w:sz="0" w:space="0" w:color="auto"/>
        <w:bottom w:val="none" w:sz="0" w:space="0" w:color="auto"/>
        <w:right w:val="none" w:sz="0" w:space="0" w:color="auto"/>
      </w:divBdr>
    </w:div>
    <w:div w:id="358242195">
      <w:bodyDiv w:val="1"/>
      <w:marLeft w:val="0"/>
      <w:marRight w:val="0"/>
      <w:marTop w:val="0"/>
      <w:marBottom w:val="0"/>
      <w:divBdr>
        <w:top w:val="none" w:sz="0" w:space="0" w:color="auto"/>
        <w:left w:val="none" w:sz="0" w:space="0" w:color="auto"/>
        <w:bottom w:val="none" w:sz="0" w:space="0" w:color="auto"/>
        <w:right w:val="none" w:sz="0" w:space="0" w:color="auto"/>
      </w:divBdr>
      <w:divsChild>
        <w:div w:id="408232840">
          <w:marLeft w:val="0"/>
          <w:marRight w:val="0"/>
          <w:marTop w:val="0"/>
          <w:marBottom w:val="0"/>
          <w:divBdr>
            <w:top w:val="none" w:sz="0" w:space="0" w:color="auto"/>
            <w:left w:val="none" w:sz="0" w:space="0" w:color="auto"/>
            <w:bottom w:val="none" w:sz="0" w:space="0" w:color="auto"/>
            <w:right w:val="none" w:sz="0" w:space="0" w:color="auto"/>
          </w:divBdr>
        </w:div>
        <w:div w:id="552081505">
          <w:marLeft w:val="0"/>
          <w:marRight w:val="0"/>
          <w:marTop w:val="0"/>
          <w:marBottom w:val="0"/>
          <w:divBdr>
            <w:top w:val="none" w:sz="0" w:space="0" w:color="auto"/>
            <w:left w:val="none" w:sz="0" w:space="0" w:color="auto"/>
            <w:bottom w:val="none" w:sz="0" w:space="0" w:color="auto"/>
            <w:right w:val="none" w:sz="0" w:space="0" w:color="auto"/>
          </w:divBdr>
        </w:div>
        <w:div w:id="1620840189">
          <w:marLeft w:val="0"/>
          <w:marRight w:val="0"/>
          <w:marTop w:val="0"/>
          <w:marBottom w:val="0"/>
          <w:divBdr>
            <w:top w:val="none" w:sz="0" w:space="0" w:color="auto"/>
            <w:left w:val="none" w:sz="0" w:space="0" w:color="auto"/>
            <w:bottom w:val="none" w:sz="0" w:space="0" w:color="auto"/>
            <w:right w:val="none" w:sz="0" w:space="0" w:color="auto"/>
          </w:divBdr>
        </w:div>
        <w:div w:id="439835565">
          <w:marLeft w:val="0"/>
          <w:marRight w:val="0"/>
          <w:marTop w:val="0"/>
          <w:marBottom w:val="0"/>
          <w:divBdr>
            <w:top w:val="none" w:sz="0" w:space="0" w:color="auto"/>
            <w:left w:val="none" w:sz="0" w:space="0" w:color="auto"/>
            <w:bottom w:val="none" w:sz="0" w:space="0" w:color="auto"/>
            <w:right w:val="none" w:sz="0" w:space="0" w:color="auto"/>
          </w:divBdr>
        </w:div>
        <w:div w:id="322438543">
          <w:marLeft w:val="0"/>
          <w:marRight w:val="0"/>
          <w:marTop w:val="0"/>
          <w:marBottom w:val="0"/>
          <w:divBdr>
            <w:top w:val="none" w:sz="0" w:space="0" w:color="auto"/>
            <w:left w:val="none" w:sz="0" w:space="0" w:color="auto"/>
            <w:bottom w:val="none" w:sz="0" w:space="0" w:color="auto"/>
            <w:right w:val="none" w:sz="0" w:space="0" w:color="auto"/>
          </w:divBdr>
        </w:div>
        <w:div w:id="1010108114">
          <w:marLeft w:val="0"/>
          <w:marRight w:val="0"/>
          <w:marTop w:val="0"/>
          <w:marBottom w:val="0"/>
          <w:divBdr>
            <w:top w:val="none" w:sz="0" w:space="0" w:color="auto"/>
            <w:left w:val="none" w:sz="0" w:space="0" w:color="auto"/>
            <w:bottom w:val="none" w:sz="0" w:space="0" w:color="auto"/>
            <w:right w:val="none" w:sz="0" w:space="0" w:color="auto"/>
          </w:divBdr>
        </w:div>
        <w:div w:id="813914970">
          <w:marLeft w:val="0"/>
          <w:marRight w:val="0"/>
          <w:marTop w:val="0"/>
          <w:marBottom w:val="0"/>
          <w:divBdr>
            <w:top w:val="none" w:sz="0" w:space="0" w:color="auto"/>
            <w:left w:val="none" w:sz="0" w:space="0" w:color="auto"/>
            <w:bottom w:val="none" w:sz="0" w:space="0" w:color="auto"/>
            <w:right w:val="none" w:sz="0" w:space="0" w:color="auto"/>
          </w:divBdr>
        </w:div>
        <w:div w:id="472523047">
          <w:marLeft w:val="0"/>
          <w:marRight w:val="0"/>
          <w:marTop w:val="0"/>
          <w:marBottom w:val="0"/>
          <w:divBdr>
            <w:top w:val="none" w:sz="0" w:space="0" w:color="auto"/>
            <w:left w:val="none" w:sz="0" w:space="0" w:color="auto"/>
            <w:bottom w:val="none" w:sz="0" w:space="0" w:color="auto"/>
            <w:right w:val="none" w:sz="0" w:space="0" w:color="auto"/>
          </w:divBdr>
        </w:div>
        <w:div w:id="1909264598">
          <w:marLeft w:val="0"/>
          <w:marRight w:val="0"/>
          <w:marTop w:val="0"/>
          <w:marBottom w:val="0"/>
          <w:divBdr>
            <w:top w:val="none" w:sz="0" w:space="0" w:color="auto"/>
            <w:left w:val="none" w:sz="0" w:space="0" w:color="auto"/>
            <w:bottom w:val="none" w:sz="0" w:space="0" w:color="auto"/>
            <w:right w:val="none" w:sz="0" w:space="0" w:color="auto"/>
          </w:divBdr>
        </w:div>
        <w:div w:id="1795100490">
          <w:marLeft w:val="0"/>
          <w:marRight w:val="0"/>
          <w:marTop w:val="0"/>
          <w:marBottom w:val="0"/>
          <w:divBdr>
            <w:top w:val="none" w:sz="0" w:space="0" w:color="auto"/>
            <w:left w:val="none" w:sz="0" w:space="0" w:color="auto"/>
            <w:bottom w:val="none" w:sz="0" w:space="0" w:color="auto"/>
            <w:right w:val="none" w:sz="0" w:space="0" w:color="auto"/>
          </w:divBdr>
        </w:div>
        <w:div w:id="179441013">
          <w:marLeft w:val="0"/>
          <w:marRight w:val="0"/>
          <w:marTop w:val="0"/>
          <w:marBottom w:val="0"/>
          <w:divBdr>
            <w:top w:val="none" w:sz="0" w:space="0" w:color="auto"/>
            <w:left w:val="none" w:sz="0" w:space="0" w:color="auto"/>
            <w:bottom w:val="none" w:sz="0" w:space="0" w:color="auto"/>
            <w:right w:val="none" w:sz="0" w:space="0" w:color="auto"/>
          </w:divBdr>
        </w:div>
        <w:div w:id="1562667494">
          <w:marLeft w:val="0"/>
          <w:marRight w:val="0"/>
          <w:marTop w:val="0"/>
          <w:marBottom w:val="0"/>
          <w:divBdr>
            <w:top w:val="none" w:sz="0" w:space="0" w:color="auto"/>
            <w:left w:val="none" w:sz="0" w:space="0" w:color="auto"/>
            <w:bottom w:val="none" w:sz="0" w:space="0" w:color="auto"/>
            <w:right w:val="none" w:sz="0" w:space="0" w:color="auto"/>
          </w:divBdr>
        </w:div>
        <w:div w:id="1247691744">
          <w:marLeft w:val="0"/>
          <w:marRight w:val="0"/>
          <w:marTop w:val="0"/>
          <w:marBottom w:val="0"/>
          <w:divBdr>
            <w:top w:val="none" w:sz="0" w:space="0" w:color="auto"/>
            <w:left w:val="none" w:sz="0" w:space="0" w:color="auto"/>
            <w:bottom w:val="none" w:sz="0" w:space="0" w:color="auto"/>
            <w:right w:val="none" w:sz="0" w:space="0" w:color="auto"/>
          </w:divBdr>
        </w:div>
      </w:divsChild>
    </w:div>
    <w:div w:id="1257401447">
      <w:bodyDiv w:val="1"/>
      <w:marLeft w:val="0"/>
      <w:marRight w:val="0"/>
      <w:marTop w:val="0"/>
      <w:marBottom w:val="0"/>
      <w:divBdr>
        <w:top w:val="none" w:sz="0" w:space="0" w:color="auto"/>
        <w:left w:val="none" w:sz="0" w:space="0" w:color="auto"/>
        <w:bottom w:val="none" w:sz="0" w:space="0" w:color="auto"/>
        <w:right w:val="none" w:sz="0" w:space="0" w:color="auto"/>
      </w:divBdr>
    </w:div>
    <w:div w:id="1732387783">
      <w:bodyDiv w:val="1"/>
      <w:marLeft w:val="0"/>
      <w:marRight w:val="0"/>
      <w:marTop w:val="0"/>
      <w:marBottom w:val="0"/>
      <w:divBdr>
        <w:top w:val="none" w:sz="0" w:space="0" w:color="auto"/>
        <w:left w:val="none" w:sz="0" w:space="0" w:color="auto"/>
        <w:bottom w:val="none" w:sz="0" w:space="0" w:color="auto"/>
        <w:right w:val="none" w:sz="0" w:space="0" w:color="auto"/>
      </w:divBdr>
    </w:div>
    <w:div w:id="185388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DB84-AD21-E548-892F-86078E4D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11</Pages>
  <Words>5381</Words>
  <Characters>27984</Characters>
  <Application>Microsoft Office Word</Application>
  <DocSecurity>0</DocSecurity>
  <Lines>424</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cp:lastPrinted>2018-04-19T14:56:00Z</cp:lastPrinted>
  <dcterms:created xsi:type="dcterms:W3CDTF">2018-04-19T14:46:00Z</dcterms:created>
  <dcterms:modified xsi:type="dcterms:W3CDTF">2018-05-15T11:33:00Z</dcterms:modified>
</cp:coreProperties>
</file>